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152A6DB6" w:rsidR="0045300A" w:rsidRPr="00C57D69" w:rsidRDefault="004A698B" w:rsidP="00C57D69">
      <w:pPr>
        <w:jc w:val="center"/>
        <w:rPr>
          <w:b/>
          <w:bCs/>
          <w:sz w:val="32"/>
          <w:szCs w:val="32"/>
        </w:rPr>
      </w:pPr>
      <w:r w:rsidRPr="00C57D69">
        <w:rPr>
          <w:b/>
          <w:bCs/>
          <w:sz w:val="32"/>
          <w:szCs w:val="32"/>
        </w:rPr>
        <w:t xml:space="preserve">Notes of </w:t>
      </w:r>
      <w:r w:rsidR="00F5598B">
        <w:rPr>
          <w:b/>
          <w:bCs/>
          <w:sz w:val="32"/>
          <w:szCs w:val="32"/>
        </w:rPr>
        <w:t>OP F2F</w:t>
      </w:r>
      <w:r w:rsidR="00293D1E">
        <w:rPr>
          <w:b/>
          <w:bCs/>
          <w:sz w:val="32"/>
          <w:szCs w:val="32"/>
        </w:rPr>
        <w:t>#</w:t>
      </w:r>
      <w:r w:rsidR="00F5598B">
        <w:rPr>
          <w:b/>
          <w:bCs/>
          <w:sz w:val="32"/>
          <w:szCs w:val="32"/>
        </w:rPr>
        <w:t>001</w:t>
      </w:r>
      <w:r w:rsidR="00293D1E">
        <w:rPr>
          <w:b/>
          <w:bCs/>
          <w:sz w:val="32"/>
          <w:szCs w:val="32"/>
        </w:rPr>
        <w:t>E_CC#</w:t>
      </w:r>
      <w:r w:rsidR="00277E48">
        <w:rPr>
          <w:b/>
          <w:bCs/>
          <w:sz w:val="32"/>
          <w:szCs w:val="32"/>
        </w:rPr>
        <w:t>1</w:t>
      </w:r>
      <w:r w:rsidR="0064465A">
        <w:rPr>
          <w:b/>
          <w:bCs/>
          <w:sz w:val="32"/>
          <w:szCs w:val="32"/>
        </w:rPr>
        <w:br/>
      </w:r>
      <w:r w:rsidR="00F5598B">
        <w:rPr>
          <w:b/>
          <w:bCs/>
          <w:sz w:val="32"/>
          <w:szCs w:val="32"/>
        </w:rPr>
        <w:t>Face to Face Decision meeting</w:t>
      </w:r>
      <w:r w:rsidR="00F5598B">
        <w:rPr>
          <w:b/>
          <w:bCs/>
          <w:sz w:val="32"/>
          <w:szCs w:val="32"/>
        </w:rPr>
        <w:br/>
      </w:r>
      <w:r w:rsidR="0064465A">
        <w:rPr>
          <w:b/>
          <w:bCs/>
          <w:sz w:val="32"/>
          <w:szCs w:val="32"/>
        </w:rPr>
        <w:t xml:space="preserve">Version </w:t>
      </w:r>
      <w:r w:rsidR="00FB13CD">
        <w:rPr>
          <w:b/>
          <w:bCs/>
          <w:sz w:val="32"/>
          <w:szCs w:val="32"/>
        </w:rPr>
        <w:t>3</w:t>
      </w:r>
    </w:p>
    <w:p w14:paraId="35CF83A2" w14:textId="74F9A1F5" w:rsidR="004A698B" w:rsidRDefault="004A698B"/>
    <w:p w14:paraId="27C7387B" w14:textId="42E8EA3C"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F5598B">
        <w:rPr>
          <w:color w:val="0000FF"/>
        </w:rPr>
        <w:t>6</w:t>
      </w:r>
      <w:r w:rsidR="00CA4BD5">
        <w:rPr>
          <w:color w:val="0000FF"/>
        </w:rPr>
        <w:t xml:space="preserve"> Novem</w:t>
      </w:r>
      <w:r w:rsidR="00A87E03">
        <w:rPr>
          <w:color w:val="0000FF"/>
        </w:rPr>
        <w:t>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F5598B">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55F48CA" w:rsidR="004A698B" w:rsidRDefault="00F5598B" w:rsidP="006C270F">
      <w:r>
        <w:t>3</w:t>
      </w:r>
      <w:r w:rsidR="004D02FE">
        <w:t>4</w:t>
      </w:r>
      <w:r w:rsidR="004A698B">
        <w:t xml:space="preserve"> </w:t>
      </w:r>
      <w:r w:rsidR="00617D26">
        <w:t xml:space="preserve">people attended the </w:t>
      </w:r>
      <w:r w:rsidR="00983B33">
        <w:t xml:space="preserve">conference </w:t>
      </w:r>
      <w:r w:rsidR="00617D26">
        <w:t>call</w:t>
      </w:r>
    </w:p>
    <w:p w14:paraId="1E4DEF48" w14:textId="3376636D" w:rsidR="00745058" w:rsidRDefault="00745058" w:rsidP="00745058">
      <w:r w:rsidRPr="00E960BA">
        <w:rPr>
          <w:b/>
          <w:bCs/>
        </w:rPr>
        <w:t>Attendees</w:t>
      </w:r>
      <w:r>
        <w:t>:</w:t>
      </w:r>
    </w:p>
    <w:p w14:paraId="41BE7FF1" w14:textId="77777777" w:rsidR="004D02FE" w:rsidRDefault="004D02FE" w:rsidP="00060909">
      <w:pPr>
        <w:pStyle w:val="FP"/>
        <w:rPr>
          <w:color w:val="0000FF"/>
        </w:rPr>
      </w:pPr>
      <w:r>
        <w:rPr>
          <w:color w:val="0000FF"/>
        </w:rPr>
        <w:t>balazs.bertenyi@nokia.com</w:t>
      </w:r>
    </w:p>
    <w:p w14:paraId="443F1E83" w14:textId="77777777" w:rsidR="004D02FE" w:rsidRDefault="004D02FE" w:rsidP="00060909">
      <w:pPr>
        <w:pStyle w:val="FP"/>
        <w:rPr>
          <w:color w:val="0000FF"/>
        </w:rPr>
      </w:pPr>
      <w:r>
        <w:rPr>
          <w:color w:val="0000FF"/>
        </w:rPr>
        <w:t>CCSA Chang Duan</w:t>
      </w:r>
    </w:p>
    <w:p w14:paraId="448258E3" w14:textId="77777777" w:rsidR="004D02FE" w:rsidRDefault="004D02FE" w:rsidP="00060909">
      <w:pPr>
        <w:pStyle w:val="FP"/>
        <w:rPr>
          <w:color w:val="0000FF"/>
        </w:rPr>
      </w:pPr>
      <w:r>
        <w:rPr>
          <w:color w:val="0000FF"/>
        </w:rPr>
        <w:t>ckoh@tta.or.kr</w:t>
      </w:r>
    </w:p>
    <w:p w14:paraId="5798D960" w14:textId="77777777" w:rsidR="004D02FE" w:rsidRDefault="004D02FE" w:rsidP="00060909">
      <w:pPr>
        <w:pStyle w:val="FP"/>
        <w:rPr>
          <w:color w:val="0000FF"/>
        </w:rPr>
      </w:pPr>
      <w:r>
        <w:rPr>
          <w:color w:val="0000FF"/>
        </w:rPr>
        <w:t>dz1069@att.com</w:t>
      </w:r>
    </w:p>
    <w:p w14:paraId="1DD81AB5" w14:textId="77777777" w:rsidR="004D02FE" w:rsidRDefault="004D02FE" w:rsidP="00060909">
      <w:pPr>
        <w:pStyle w:val="FP"/>
        <w:rPr>
          <w:color w:val="0000FF"/>
        </w:rPr>
      </w:pPr>
      <w:r>
        <w:rPr>
          <w:color w:val="0000FF"/>
        </w:rPr>
        <w:t>emmanuelle.wurffel@etsi.org</w:t>
      </w:r>
    </w:p>
    <w:p w14:paraId="06855BA3" w14:textId="77777777" w:rsidR="004D02FE" w:rsidRDefault="004D02FE" w:rsidP="00060909">
      <w:pPr>
        <w:pStyle w:val="FP"/>
        <w:rPr>
          <w:color w:val="0000FF"/>
        </w:rPr>
      </w:pPr>
      <w:r>
        <w:rPr>
          <w:color w:val="0000FF"/>
        </w:rPr>
        <w:t>frederic.gabin@dolby.com</w:t>
      </w:r>
    </w:p>
    <w:p w14:paraId="45193370" w14:textId="77777777" w:rsidR="004D02FE" w:rsidRDefault="004D02FE" w:rsidP="00060909">
      <w:pPr>
        <w:pStyle w:val="FP"/>
        <w:rPr>
          <w:color w:val="0000FF"/>
        </w:rPr>
      </w:pPr>
      <w:r>
        <w:rPr>
          <w:color w:val="0000FF"/>
        </w:rPr>
        <w:t>gao.yuan66@zte.com.cn</w:t>
      </w:r>
    </w:p>
    <w:p w14:paraId="42A05A61" w14:textId="77777777" w:rsidR="004D02FE" w:rsidRDefault="004D02FE" w:rsidP="00060909">
      <w:pPr>
        <w:pStyle w:val="FP"/>
        <w:rPr>
          <w:color w:val="0000FF"/>
        </w:rPr>
      </w:pPr>
      <w:r>
        <w:rPr>
          <w:color w:val="0000FF"/>
        </w:rPr>
        <w:t>georg.mayer@huawei.com</w:t>
      </w:r>
    </w:p>
    <w:p w14:paraId="1CB81C46" w14:textId="77777777" w:rsidR="004D02FE" w:rsidRDefault="004D02FE" w:rsidP="00060909">
      <w:pPr>
        <w:pStyle w:val="FP"/>
        <w:rPr>
          <w:color w:val="0000FF"/>
        </w:rPr>
      </w:pPr>
      <w:r>
        <w:rPr>
          <w:color w:val="0000FF"/>
        </w:rPr>
        <w:t>isharp@atis.org</w:t>
      </w:r>
    </w:p>
    <w:p w14:paraId="5E216585" w14:textId="77777777" w:rsidR="004D02FE" w:rsidRDefault="004D02FE" w:rsidP="00060909">
      <w:pPr>
        <w:pStyle w:val="FP"/>
        <w:rPr>
          <w:color w:val="0000FF"/>
        </w:rPr>
      </w:pPr>
      <w:r>
        <w:rPr>
          <w:color w:val="0000FF"/>
        </w:rPr>
        <w:t>issam.toufik@etsi.org</w:t>
      </w:r>
    </w:p>
    <w:p w14:paraId="42409315" w14:textId="77777777" w:rsidR="004D02FE" w:rsidRDefault="004D02FE" w:rsidP="00060909">
      <w:pPr>
        <w:pStyle w:val="FP"/>
        <w:rPr>
          <w:color w:val="0000FF"/>
        </w:rPr>
      </w:pPr>
      <w:r>
        <w:rPr>
          <w:color w:val="0000FF"/>
        </w:rPr>
        <w:t>jacobjohn@motorola.com</w:t>
      </w:r>
    </w:p>
    <w:p w14:paraId="42575875" w14:textId="77777777" w:rsidR="004D02FE" w:rsidRDefault="004D02FE" w:rsidP="00060909">
      <w:pPr>
        <w:pStyle w:val="FP"/>
        <w:rPr>
          <w:color w:val="0000FF"/>
        </w:rPr>
      </w:pPr>
      <w:r>
        <w:rPr>
          <w:color w:val="0000FF"/>
        </w:rPr>
        <w:t>johannes.achter@magenta.at</w:t>
      </w:r>
    </w:p>
    <w:p w14:paraId="2BE95373" w14:textId="77777777" w:rsidR="004D02FE" w:rsidRDefault="004D02FE" w:rsidP="00060909">
      <w:pPr>
        <w:pStyle w:val="FP"/>
        <w:rPr>
          <w:color w:val="0000FF"/>
        </w:rPr>
      </w:pPr>
      <w:r>
        <w:rPr>
          <w:color w:val="0000FF"/>
        </w:rPr>
        <w:t>kckoo@tta.or.kr</w:t>
      </w:r>
    </w:p>
    <w:p w14:paraId="31333F8A" w14:textId="4EBAEEBD" w:rsidR="004D02FE" w:rsidRDefault="004D02FE" w:rsidP="00060909">
      <w:pPr>
        <w:pStyle w:val="FP"/>
        <w:rPr>
          <w:color w:val="0000FF"/>
        </w:rPr>
      </w:pPr>
      <w:r>
        <w:rPr>
          <w:color w:val="0000FF"/>
        </w:rPr>
        <w:t xml:space="preserve">Lionel </w:t>
      </w:r>
      <w:r w:rsidR="00FB13CD">
        <w:rPr>
          <w:color w:val="0000FF"/>
        </w:rPr>
        <w:t>Morand</w:t>
      </w:r>
    </w:p>
    <w:p w14:paraId="16196608" w14:textId="77777777" w:rsidR="004D02FE" w:rsidRDefault="004D02FE" w:rsidP="00060909">
      <w:pPr>
        <w:pStyle w:val="FP"/>
        <w:rPr>
          <w:color w:val="0000FF"/>
        </w:rPr>
      </w:pPr>
      <w:r>
        <w:rPr>
          <w:color w:val="0000FF"/>
        </w:rPr>
        <w:t>lionel.morand@orange.com</w:t>
      </w:r>
    </w:p>
    <w:p w14:paraId="676BECAA" w14:textId="77777777" w:rsidR="004D02FE" w:rsidRDefault="004D02FE" w:rsidP="00060909">
      <w:pPr>
        <w:pStyle w:val="FP"/>
        <w:rPr>
          <w:color w:val="0000FF"/>
        </w:rPr>
      </w:pPr>
      <w:r>
        <w:rPr>
          <w:color w:val="0000FF"/>
        </w:rPr>
        <w:t>liuxiaofeng1@catr.cn</w:t>
      </w:r>
    </w:p>
    <w:p w14:paraId="1DCD2D15" w14:textId="77777777" w:rsidR="004D02FE" w:rsidRDefault="004D02FE" w:rsidP="00060909">
      <w:pPr>
        <w:pStyle w:val="FP"/>
        <w:rPr>
          <w:color w:val="0000FF"/>
        </w:rPr>
      </w:pPr>
      <w:r>
        <w:rPr>
          <w:color w:val="0000FF"/>
        </w:rPr>
        <w:t>luis.romero@etsi.org</w:t>
      </w:r>
    </w:p>
    <w:p w14:paraId="63474CA1" w14:textId="77777777" w:rsidR="004D02FE" w:rsidRDefault="004D02FE" w:rsidP="00060909">
      <w:pPr>
        <w:pStyle w:val="FP"/>
        <w:rPr>
          <w:color w:val="0000FF"/>
        </w:rPr>
      </w:pPr>
      <w:r>
        <w:rPr>
          <w:color w:val="0000FF"/>
        </w:rPr>
        <w:t>luofeng@chinamobile.com</w:t>
      </w:r>
    </w:p>
    <w:p w14:paraId="415399B3" w14:textId="77777777" w:rsidR="004D02FE" w:rsidRDefault="004D02FE" w:rsidP="00060909">
      <w:pPr>
        <w:pStyle w:val="FP"/>
        <w:rPr>
          <w:color w:val="0000FF"/>
        </w:rPr>
      </w:pPr>
      <w:r>
        <w:rPr>
          <w:color w:val="0000FF"/>
        </w:rPr>
        <w:t>mark.younge@t-mobile.com</w:t>
      </w:r>
    </w:p>
    <w:p w14:paraId="3F3C405E" w14:textId="77777777" w:rsidR="004D02FE" w:rsidRDefault="004D02FE" w:rsidP="00060909">
      <w:pPr>
        <w:pStyle w:val="FP"/>
        <w:rPr>
          <w:color w:val="0000FF"/>
        </w:rPr>
      </w:pPr>
      <w:r>
        <w:rPr>
          <w:color w:val="0000FF"/>
        </w:rPr>
        <w:t>maurice.pope@etsi.org</w:t>
      </w:r>
    </w:p>
    <w:p w14:paraId="057E35E9" w14:textId="77777777" w:rsidR="004D02FE" w:rsidRDefault="004D02FE" w:rsidP="00060909">
      <w:pPr>
        <w:pStyle w:val="FP"/>
        <w:rPr>
          <w:color w:val="0000FF"/>
        </w:rPr>
      </w:pPr>
      <w:r>
        <w:rPr>
          <w:color w:val="0000FF"/>
        </w:rPr>
        <w:t>Ming Ai (CATT)</w:t>
      </w:r>
    </w:p>
    <w:p w14:paraId="55E6E45D" w14:textId="77777777" w:rsidR="004D02FE" w:rsidRDefault="004D02FE" w:rsidP="00060909">
      <w:pPr>
        <w:pStyle w:val="FP"/>
        <w:rPr>
          <w:color w:val="0000FF"/>
        </w:rPr>
      </w:pPr>
      <w:r>
        <w:rPr>
          <w:color w:val="0000FF"/>
        </w:rPr>
        <w:t>nakamura@s.ttc.or.jp</w:t>
      </w:r>
    </w:p>
    <w:p w14:paraId="15D3B0E2" w14:textId="77777777" w:rsidR="004D02FE" w:rsidRDefault="004D02FE" w:rsidP="00060909">
      <w:pPr>
        <w:pStyle w:val="FP"/>
        <w:rPr>
          <w:color w:val="0000FF"/>
        </w:rPr>
      </w:pPr>
      <w:r>
        <w:rPr>
          <w:color w:val="0000FF"/>
        </w:rPr>
        <w:t>Noboyuki Tajiri TTC</w:t>
      </w:r>
    </w:p>
    <w:p w14:paraId="7535938F" w14:textId="77777777" w:rsidR="004D02FE" w:rsidRDefault="004D02FE" w:rsidP="00060909">
      <w:pPr>
        <w:pStyle w:val="FP"/>
        <w:rPr>
          <w:color w:val="0000FF"/>
        </w:rPr>
      </w:pPr>
      <w:r>
        <w:rPr>
          <w:color w:val="0000FF"/>
        </w:rPr>
        <w:t>puneet.jain@intel.com</w:t>
      </w:r>
    </w:p>
    <w:p w14:paraId="50F0D3FC" w14:textId="77777777" w:rsidR="004D02FE" w:rsidRDefault="004D02FE" w:rsidP="00060909">
      <w:pPr>
        <w:pStyle w:val="FP"/>
        <w:rPr>
          <w:color w:val="0000FF"/>
        </w:rPr>
      </w:pPr>
      <w:r>
        <w:rPr>
          <w:color w:val="0000FF"/>
        </w:rPr>
        <w:t>shenzukang@huawei.com</w:t>
      </w:r>
    </w:p>
    <w:p w14:paraId="420153E5" w14:textId="77777777" w:rsidR="004D02FE" w:rsidRDefault="004D02FE" w:rsidP="00060909">
      <w:pPr>
        <w:pStyle w:val="FP"/>
        <w:rPr>
          <w:color w:val="0000FF"/>
        </w:rPr>
      </w:pPr>
      <w:r>
        <w:rPr>
          <w:color w:val="0000FF"/>
        </w:rPr>
        <w:t>s-nishioka@arib.or.jp</w:t>
      </w:r>
    </w:p>
    <w:p w14:paraId="47FC60DE" w14:textId="77777777" w:rsidR="004D02FE" w:rsidRDefault="004D02FE" w:rsidP="00060909">
      <w:pPr>
        <w:pStyle w:val="FP"/>
        <w:rPr>
          <w:color w:val="0000FF"/>
        </w:rPr>
      </w:pPr>
      <w:r>
        <w:rPr>
          <w:color w:val="0000FF"/>
        </w:rPr>
        <w:t>Stephen Hayes ATS</w:t>
      </w:r>
    </w:p>
    <w:p w14:paraId="381CF4F9" w14:textId="77777777" w:rsidR="004D02FE" w:rsidRDefault="004D02FE" w:rsidP="00060909">
      <w:pPr>
        <w:pStyle w:val="FP"/>
        <w:rPr>
          <w:color w:val="0000FF"/>
        </w:rPr>
      </w:pPr>
      <w:r>
        <w:rPr>
          <w:color w:val="0000FF"/>
        </w:rPr>
        <w:t>sumita.masaomi@huawei.com</w:t>
      </w:r>
    </w:p>
    <w:p w14:paraId="49EEC382" w14:textId="77777777" w:rsidR="004D02FE" w:rsidRDefault="004D02FE" w:rsidP="00060909">
      <w:pPr>
        <w:pStyle w:val="FP"/>
        <w:rPr>
          <w:color w:val="0000FF"/>
        </w:rPr>
      </w:pPr>
      <w:r>
        <w:rPr>
          <w:color w:val="0000FF"/>
        </w:rPr>
        <w:t>Suresh Chitturi (SA WG6 Chair/TSDSI)</w:t>
      </w:r>
    </w:p>
    <w:p w14:paraId="67CF1DE7" w14:textId="77777777" w:rsidR="004D02FE" w:rsidRDefault="004D02FE" w:rsidP="00060909">
      <w:pPr>
        <w:pStyle w:val="FP"/>
        <w:rPr>
          <w:color w:val="0000FF"/>
        </w:rPr>
      </w:pPr>
      <w:r>
        <w:rPr>
          <w:color w:val="0000FF"/>
        </w:rPr>
        <w:t>suresh.p.nair@nokia.com</w:t>
      </w:r>
    </w:p>
    <w:p w14:paraId="0FBB124B" w14:textId="77777777" w:rsidR="004D02FE" w:rsidRDefault="004D02FE" w:rsidP="00060909">
      <w:pPr>
        <w:pStyle w:val="FP"/>
        <w:rPr>
          <w:color w:val="0000FF"/>
        </w:rPr>
      </w:pPr>
      <w:r>
        <w:rPr>
          <w:color w:val="0000FF"/>
        </w:rPr>
        <w:t>y-kato@arib.or.jp</w:t>
      </w:r>
    </w:p>
    <w:p w14:paraId="16B985E4" w14:textId="77777777" w:rsidR="004D02FE" w:rsidRDefault="004D02FE" w:rsidP="00060909">
      <w:pPr>
        <w:pStyle w:val="FP"/>
        <w:rPr>
          <w:color w:val="0000FF"/>
        </w:rPr>
      </w:pPr>
      <w:r>
        <w:rPr>
          <w:color w:val="0000FF"/>
        </w:rPr>
        <w:t>yongjun.chung@tta.or.kr</w:t>
      </w:r>
    </w:p>
    <w:p w14:paraId="6652299B" w14:textId="77777777" w:rsidR="004D02FE" w:rsidRDefault="004D02FE" w:rsidP="00060909">
      <w:pPr>
        <w:pStyle w:val="FP"/>
        <w:rPr>
          <w:color w:val="0000FF"/>
        </w:rPr>
      </w:pPr>
      <w:r>
        <w:rPr>
          <w:color w:val="0000FF"/>
        </w:rPr>
        <w:t>yongjun.chung@tta.or.kr</w:t>
      </w:r>
    </w:p>
    <w:p w14:paraId="79131ED5" w14:textId="77777777" w:rsidR="004D02FE" w:rsidRDefault="004D02FE" w:rsidP="00060909">
      <w:pPr>
        <w:pStyle w:val="FP"/>
        <w:rPr>
          <w:color w:val="0000FF"/>
        </w:rPr>
      </w:pPr>
      <w:r>
        <w:rPr>
          <w:color w:val="0000FF"/>
        </w:rPr>
        <w:t>zhaosz@ccsa.org.cn</w:t>
      </w:r>
    </w:p>
    <w:p w14:paraId="08BD8FF4" w14:textId="01A72DC0" w:rsidR="007E1A46" w:rsidRPr="00F00347" w:rsidRDefault="007E1A46" w:rsidP="00CD73EC">
      <w:pPr>
        <w:pStyle w:val="FP"/>
      </w:pPr>
    </w:p>
    <w:p w14:paraId="36FA659A" w14:textId="268605CC" w:rsidR="00CD73EC" w:rsidRDefault="00F5598B" w:rsidP="00745058">
      <w:r>
        <w:t xml:space="preserve">Balazs Bertenyi </w:t>
      </w:r>
      <w:r w:rsidR="00745058">
        <w:t>(</w:t>
      </w:r>
      <w:r>
        <w:t>F2F Decision Meeting Convenor</w:t>
      </w:r>
      <w:r w:rsidR="00745058">
        <w:t>)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473BC29" w14:textId="634DB882" w:rsidR="00F5598B" w:rsidRDefault="00F5598B" w:rsidP="00837DE3">
      <w:pPr>
        <w:pStyle w:val="Heading1"/>
      </w:pPr>
      <w:r>
        <w:t>1</w:t>
      </w:r>
      <w:r>
        <w:tab/>
        <w:t>Opening of the meeting and Chair's remarks</w:t>
      </w:r>
    </w:p>
    <w:p w14:paraId="37AC4591" w14:textId="4DC8620E" w:rsidR="00F5598B" w:rsidRDefault="00F5598B" w:rsidP="00F5598B">
      <w:pPr>
        <w:rPr>
          <w:lang w:eastAsia="en-US"/>
        </w:rPr>
      </w:pPr>
      <w:r>
        <w:rPr>
          <w:lang w:eastAsia="en-US"/>
        </w:rPr>
        <w:t>The F2F Decision Meeting Convenor (Balazs Bertenyi) welcomed participants and asked each OP group and TSG Chairs to introduce their respective teams.</w:t>
      </w:r>
    </w:p>
    <w:p w14:paraId="17CC5AFA" w14:textId="77777777" w:rsidR="00F5598B" w:rsidRPr="00F5598B" w:rsidRDefault="00F5598B" w:rsidP="00F5598B">
      <w:pPr>
        <w:rPr>
          <w:lang w:eastAsia="en-US"/>
        </w:rPr>
      </w:pPr>
    </w:p>
    <w:p w14:paraId="487C13D0" w14:textId="66F5AC8E" w:rsidR="00F5598B" w:rsidRDefault="00F5598B" w:rsidP="00837DE3">
      <w:pPr>
        <w:pStyle w:val="Heading1"/>
      </w:pPr>
      <w:r>
        <w:lastRenderedPageBreak/>
        <w:t>2</w:t>
      </w:r>
      <w:r>
        <w:tab/>
        <w:t>Approval of Agenda</w:t>
      </w:r>
    </w:p>
    <w:p w14:paraId="154A3248" w14:textId="74FED3C4" w:rsidR="00F5598B" w:rsidRDefault="00FB13CD" w:rsidP="00A51EF0">
      <w:pPr>
        <w:keepNext/>
        <w:pBdr>
          <w:top w:val="single" w:sz="4" w:space="1" w:color="auto"/>
        </w:pBdr>
        <w:rPr>
          <w:lang w:eastAsia="en-US"/>
        </w:rPr>
      </w:pPr>
      <w:hyperlink r:id="rId8" w:history="1">
        <w:r w:rsidR="00F5598B" w:rsidRPr="00F5598B">
          <w:rPr>
            <w:rStyle w:val="Hyperlink"/>
            <w:lang w:eastAsia="en-US"/>
          </w:rPr>
          <w:t>OPf210012</w:t>
        </w:r>
      </w:hyperlink>
      <w:r w:rsidR="00F5598B">
        <w:rPr>
          <w:lang w:eastAsia="en-US"/>
        </w:rPr>
        <w:t>: Agenda. F2F Decision Meeting Convenor (Balazs Bertenyi)</w:t>
      </w:r>
    </w:p>
    <w:p w14:paraId="1B5E67E5" w14:textId="77777777" w:rsidR="00F5598B" w:rsidRPr="00DA12F6" w:rsidRDefault="00F5598B" w:rsidP="00F0012A">
      <w:pPr>
        <w:keepNext/>
        <w:rPr>
          <w:rFonts w:cs="Arial"/>
          <w:b/>
        </w:rPr>
      </w:pPr>
      <w:r w:rsidRPr="00DA12F6">
        <w:rPr>
          <w:rFonts w:cs="Arial"/>
          <w:b/>
        </w:rPr>
        <w:t>Discussion and conclusion:</w:t>
      </w:r>
    </w:p>
    <w:p w14:paraId="79E9BE77" w14:textId="699A08AD" w:rsidR="00F5598B" w:rsidRPr="00F5598B" w:rsidRDefault="00F5598B" w:rsidP="00F5598B">
      <w:r>
        <w:rPr>
          <w:lang w:eastAsia="en-US"/>
        </w:rPr>
        <w:t xml:space="preserve">The structure was to allow review of input from the next Hosting OPs followed by the remaining OP inputs and a summary document from the Convenor. The ETSI Director General suggested reviewing the useful summary document rather than the individual inputs in detail. The agenda was then </w:t>
      </w:r>
      <w:r w:rsidRPr="00F5598B">
        <w:rPr>
          <w:color w:val="FF0000"/>
          <w:lang w:eastAsia="en-US"/>
        </w:rPr>
        <w:t>approved</w:t>
      </w:r>
      <w:r>
        <w:t>.</w:t>
      </w:r>
    </w:p>
    <w:p w14:paraId="216C8D0D" w14:textId="77777777" w:rsidR="00F5598B" w:rsidRPr="00F5598B" w:rsidRDefault="00F5598B" w:rsidP="00F5598B">
      <w:pPr>
        <w:rPr>
          <w:lang w:eastAsia="en-US"/>
        </w:rPr>
      </w:pPr>
    </w:p>
    <w:p w14:paraId="32A90455" w14:textId="173CD73D" w:rsidR="00F5598B" w:rsidRDefault="00F5598B" w:rsidP="00837DE3">
      <w:pPr>
        <w:pStyle w:val="Heading1"/>
      </w:pPr>
      <w:r>
        <w:t>3</w:t>
      </w:r>
      <w:r>
        <w:tab/>
        <w:t>Review of key criteria from Hosting OP</w:t>
      </w:r>
    </w:p>
    <w:p w14:paraId="42E33147" w14:textId="2766E1CF" w:rsidR="00F5598B" w:rsidRDefault="00FB13CD" w:rsidP="00A51EF0">
      <w:pPr>
        <w:keepNext/>
        <w:pBdr>
          <w:top w:val="single" w:sz="4" w:space="1" w:color="auto"/>
        </w:pBdr>
        <w:rPr>
          <w:lang w:eastAsia="en-US"/>
        </w:rPr>
      </w:pPr>
      <w:hyperlink r:id="rId9" w:history="1">
        <w:r w:rsidR="00F5598B" w:rsidRPr="00F5598B">
          <w:rPr>
            <w:rStyle w:val="Hyperlink"/>
            <w:lang w:eastAsia="en-US"/>
          </w:rPr>
          <w:t>OPf210002</w:t>
        </w:r>
      </w:hyperlink>
      <w:r w:rsidR="00F5598B" w:rsidRPr="00F5598B">
        <w:rPr>
          <w:lang w:eastAsia="en-US"/>
        </w:rPr>
        <w:t xml:space="preserve"> </w:t>
      </w:r>
      <w:r w:rsidR="00A51EF0">
        <w:rPr>
          <w:lang w:eastAsia="en-US"/>
        </w:rPr>
        <w:t>Status of key criteria for F2F resumption. TTA (Telecommunications Technology Association)</w:t>
      </w:r>
    </w:p>
    <w:p w14:paraId="7112E5F8" w14:textId="77777777" w:rsidR="00F5598B" w:rsidRPr="00DA12F6" w:rsidRDefault="00F5598B" w:rsidP="00F5598B">
      <w:pPr>
        <w:keepNext/>
        <w:rPr>
          <w:rFonts w:cs="Arial"/>
          <w:b/>
        </w:rPr>
      </w:pPr>
      <w:r w:rsidRPr="00DA12F6">
        <w:rPr>
          <w:rFonts w:cs="Arial"/>
          <w:b/>
        </w:rPr>
        <w:t>Discussion and conclusion:</w:t>
      </w:r>
    </w:p>
    <w:p w14:paraId="7D0D5F0A" w14:textId="5BA737AF" w:rsidR="00F5598B" w:rsidRDefault="00F5598B" w:rsidP="00F5598B">
      <w:pPr>
        <w:rPr>
          <w:lang w:eastAsia="en-US"/>
        </w:rPr>
      </w:pPr>
      <w:r>
        <w:rPr>
          <w:lang w:eastAsia="en-US"/>
        </w:rPr>
        <w:t xml:space="preserve">This was briefly presented. The quarantine exceptions appear to be for emergency family reasons or financial business travel and did not seem to apply for 3GPP Meeting travel. </w:t>
      </w:r>
      <w:r w:rsidR="004D02FE">
        <w:rPr>
          <w:lang w:eastAsia="en-US"/>
        </w:rPr>
        <w:t>Suresh Chitturi (SA WG6 Chair/TSDSI)</w:t>
      </w:r>
      <w:r>
        <w:rPr>
          <w:lang w:eastAsia="en-US"/>
        </w:rPr>
        <w:t xml:space="preserve"> asked whether the exceptions for A.1 were for only vaccinated travellers or all travellers. It was clarified that this was thought to apply to fully vaccinated travellers. Seiji Nishioka (ARIB) commented that vaccinated travellers will need to take a test and asked whether negative tests will still require quarantine. It was clarified that there is a quarantine for the 2 days until results are available and then repeat the test if staying longer than 7 days.</w:t>
      </w:r>
    </w:p>
    <w:p w14:paraId="108276C6" w14:textId="1A832F1C" w:rsidR="00F5598B" w:rsidRDefault="005D47AF" w:rsidP="00F5598B">
      <w:pPr>
        <w:rPr>
          <w:lang w:eastAsia="en-US"/>
        </w:rPr>
      </w:pPr>
      <w:r>
        <w:rPr>
          <w:lang w:eastAsia="en-US"/>
        </w:rPr>
        <w:t xml:space="preserve">This was </w:t>
      </w:r>
      <w:r w:rsidRPr="005D47AF">
        <w:rPr>
          <w:color w:val="0000FF"/>
          <w:lang w:eastAsia="en-US"/>
        </w:rPr>
        <w:t>noted</w:t>
      </w:r>
      <w:r>
        <w:rPr>
          <w:lang w:eastAsia="en-US"/>
        </w:rPr>
        <w:t>.</w:t>
      </w:r>
    </w:p>
    <w:p w14:paraId="5A287CA4" w14:textId="77777777" w:rsidR="005D47AF" w:rsidRDefault="005D47AF" w:rsidP="005D47AF">
      <w:pPr>
        <w:rPr>
          <w:lang w:eastAsia="en-US"/>
        </w:rPr>
      </w:pPr>
    </w:p>
    <w:p w14:paraId="24745C09" w14:textId="73D55E30" w:rsidR="00F5598B" w:rsidRDefault="00FB13CD" w:rsidP="00A51EF0">
      <w:pPr>
        <w:keepNext/>
        <w:pBdr>
          <w:top w:val="single" w:sz="4" w:space="1" w:color="auto"/>
        </w:pBdr>
        <w:rPr>
          <w:lang w:eastAsia="en-US"/>
        </w:rPr>
      </w:pPr>
      <w:hyperlink r:id="rId10" w:history="1">
        <w:r w:rsidR="00F5598B" w:rsidRPr="00F5598B">
          <w:rPr>
            <w:rStyle w:val="Hyperlink"/>
            <w:lang w:eastAsia="en-US"/>
          </w:rPr>
          <w:t>OPf210008</w:t>
        </w:r>
      </w:hyperlink>
      <w:r w:rsidR="00F5598B" w:rsidRPr="00F5598B">
        <w:rPr>
          <w:lang w:eastAsia="en-US"/>
        </w:rPr>
        <w:t xml:space="preserve"> </w:t>
      </w:r>
      <w:r w:rsidR="00A51EF0">
        <w:rPr>
          <w:lang w:eastAsia="en-US"/>
        </w:rPr>
        <w:t>Template for the hosting OP to report status of key criteria. ARIB/TTC</w:t>
      </w:r>
    </w:p>
    <w:p w14:paraId="2CE407DC" w14:textId="77777777" w:rsidR="00F5598B" w:rsidRPr="00DA12F6" w:rsidRDefault="00F5598B" w:rsidP="00F5598B">
      <w:pPr>
        <w:keepNext/>
        <w:rPr>
          <w:rFonts w:cs="Arial"/>
          <w:b/>
        </w:rPr>
      </w:pPr>
      <w:r w:rsidRPr="00DA12F6">
        <w:rPr>
          <w:rFonts w:cs="Arial"/>
          <w:b/>
        </w:rPr>
        <w:t>Discussion and conclusion:</w:t>
      </w:r>
    </w:p>
    <w:p w14:paraId="18DCE984" w14:textId="58C217D2" w:rsidR="00F5598B" w:rsidRDefault="00F5598B" w:rsidP="00F5598B">
      <w:pPr>
        <w:rPr>
          <w:lang w:eastAsia="en-US"/>
        </w:rPr>
      </w:pPr>
      <w:r>
        <w:rPr>
          <w:lang w:eastAsia="en-US"/>
        </w:rPr>
        <w:t xml:space="preserve">This was not presented and may be discussed over e-mail. ARIB summarized that there is a 14 day </w:t>
      </w:r>
      <w:r w:rsidR="005D47AF">
        <w:rPr>
          <w:lang w:eastAsia="en-US"/>
        </w:rPr>
        <w:t>Quarantine</w:t>
      </w:r>
      <w:r>
        <w:rPr>
          <w:lang w:eastAsia="en-US"/>
        </w:rPr>
        <w:t xml:space="preserve"> in force in Japan and U.4 and U.6 are the critical </w:t>
      </w:r>
      <w:r w:rsidR="005D47AF">
        <w:rPr>
          <w:lang w:eastAsia="en-US"/>
        </w:rPr>
        <w:t>hurdles</w:t>
      </w:r>
      <w:r>
        <w:rPr>
          <w:lang w:eastAsia="en-US"/>
        </w:rPr>
        <w:t xml:space="preserve"> against hosting in Japan.</w:t>
      </w:r>
    </w:p>
    <w:p w14:paraId="430E5532" w14:textId="50F0412B" w:rsidR="00F5598B" w:rsidRDefault="005D47AF" w:rsidP="00F5598B">
      <w:pPr>
        <w:rPr>
          <w:lang w:eastAsia="en-US"/>
        </w:rPr>
      </w:pPr>
      <w:r>
        <w:rPr>
          <w:lang w:eastAsia="en-US"/>
        </w:rPr>
        <w:t xml:space="preserve">This was </w:t>
      </w:r>
      <w:r w:rsidRPr="005D47AF">
        <w:rPr>
          <w:color w:val="0000FF"/>
          <w:lang w:eastAsia="en-US"/>
        </w:rPr>
        <w:t>noted</w:t>
      </w:r>
      <w:r>
        <w:rPr>
          <w:lang w:eastAsia="en-US"/>
        </w:rPr>
        <w:t>.</w:t>
      </w:r>
    </w:p>
    <w:p w14:paraId="276D38EB" w14:textId="77777777" w:rsidR="005D47AF" w:rsidRDefault="005D47AF" w:rsidP="005D47AF">
      <w:pPr>
        <w:rPr>
          <w:lang w:eastAsia="en-US"/>
        </w:rPr>
      </w:pPr>
    </w:p>
    <w:p w14:paraId="03905F9A" w14:textId="7CFA93C8" w:rsidR="00F5598B" w:rsidRDefault="00FB13CD" w:rsidP="00A51EF0">
      <w:pPr>
        <w:keepNext/>
        <w:pBdr>
          <w:top w:val="single" w:sz="4" w:space="1" w:color="auto"/>
        </w:pBdr>
        <w:rPr>
          <w:lang w:eastAsia="en-US"/>
        </w:rPr>
      </w:pPr>
      <w:hyperlink r:id="rId11" w:history="1">
        <w:r w:rsidR="00F5598B" w:rsidRPr="00F5598B">
          <w:rPr>
            <w:rStyle w:val="Hyperlink"/>
            <w:lang w:eastAsia="en-US"/>
          </w:rPr>
          <w:t>OPf210009</w:t>
        </w:r>
      </w:hyperlink>
      <w:r w:rsidR="00F5598B" w:rsidRPr="00F5598B">
        <w:rPr>
          <w:lang w:eastAsia="en-US"/>
        </w:rPr>
        <w:t xml:space="preserve"> </w:t>
      </w:r>
      <w:r w:rsidR="00A51EF0">
        <w:rPr>
          <w:lang w:eastAsia="en-US"/>
        </w:rPr>
        <w:t>Template for the hosting OP to report status of key criteria. ATIS</w:t>
      </w:r>
    </w:p>
    <w:p w14:paraId="0C7E1C60" w14:textId="77777777" w:rsidR="00F5598B" w:rsidRPr="00DA12F6" w:rsidRDefault="00F5598B" w:rsidP="00F5598B">
      <w:pPr>
        <w:keepNext/>
        <w:rPr>
          <w:rFonts w:cs="Arial"/>
          <w:b/>
        </w:rPr>
      </w:pPr>
      <w:r w:rsidRPr="00DA12F6">
        <w:rPr>
          <w:rFonts w:cs="Arial"/>
          <w:b/>
        </w:rPr>
        <w:t>Discussion and conclusion:</w:t>
      </w:r>
    </w:p>
    <w:p w14:paraId="5D134F03" w14:textId="3A3C9AB7" w:rsidR="00F5598B" w:rsidRDefault="00F5598B" w:rsidP="00F5598B">
      <w:pPr>
        <w:rPr>
          <w:lang w:eastAsia="en-US"/>
        </w:rPr>
      </w:pPr>
      <w:r>
        <w:rPr>
          <w:lang w:eastAsia="en-US"/>
        </w:rPr>
        <w:t>This was not presented and may be discussed over e-mail. ATIS believe that from the COVID viewpoint US will meet the travel requirements, notwithstanding the parallel issue of obtaining visas.</w:t>
      </w:r>
    </w:p>
    <w:p w14:paraId="0CC484A6" w14:textId="69EAA43B" w:rsidR="00F5598B" w:rsidRDefault="005D47AF" w:rsidP="00F5598B">
      <w:pPr>
        <w:rPr>
          <w:lang w:eastAsia="en-US"/>
        </w:rPr>
      </w:pPr>
      <w:r>
        <w:rPr>
          <w:lang w:eastAsia="en-US"/>
        </w:rPr>
        <w:t xml:space="preserve">This was </w:t>
      </w:r>
      <w:r w:rsidRPr="005D47AF">
        <w:rPr>
          <w:color w:val="0000FF"/>
          <w:lang w:eastAsia="en-US"/>
        </w:rPr>
        <w:t>noted</w:t>
      </w:r>
      <w:r>
        <w:rPr>
          <w:lang w:eastAsia="en-US"/>
        </w:rPr>
        <w:t>.</w:t>
      </w:r>
    </w:p>
    <w:p w14:paraId="4A65C642" w14:textId="460A8005" w:rsidR="00F5598B" w:rsidRDefault="00F5598B" w:rsidP="00837DE3">
      <w:pPr>
        <w:pStyle w:val="Heading1"/>
      </w:pPr>
      <w:r>
        <w:t>4</w:t>
      </w:r>
      <w:r>
        <w:tab/>
        <w:t>Review of key criteria based on input from non-hosting OPs</w:t>
      </w:r>
    </w:p>
    <w:p w14:paraId="01CAFE84" w14:textId="5AE434C5" w:rsidR="00F5598B" w:rsidRDefault="00FB13CD" w:rsidP="00A51EF0">
      <w:pPr>
        <w:keepNext/>
        <w:pBdr>
          <w:top w:val="single" w:sz="4" w:space="1" w:color="auto"/>
        </w:pBdr>
        <w:rPr>
          <w:lang w:eastAsia="en-US"/>
        </w:rPr>
      </w:pPr>
      <w:hyperlink r:id="rId12" w:history="1">
        <w:r w:rsidR="00F5598B" w:rsidRPr="00F5598B">
          <w:rPr>
            <w:rStyle w:val="Hyperlink"/>
            <w:lang w:eastAsia="en-US"/>
          </w:rPr>
          <w:t>OPf210011</w:t>
        </w:r>
      </w:hyperlink>
      <w:r w:rsidR="00F5598B" w:rsidRPr="00F5598B">
        <w:rPr>
          <w:lang w:eastAsia="en-US"/>
        </w:rPr>
        <w:t xml:space="preserve"> </w:t>
      </w:r>
      <w:r w:rsidR="00A51EF0">
        <w:rPr>
          <w:lang w:eastAsia="en-US"/>
        </w:rPr>
        <w:t>Summary table of visiting (non-hosting) OP input on key criteria. Convenor (Balazs Bertenyi)</w:t>
      </w:r>
    </w:p>
    <w:p w14:paraId="1ABD0677" w14:textId="77777777" w:rsidR="00F5598B" w:rsidRPr="00DA12F6" w:rsidRDefault="00F5598B" w:rsidP="00F5598B">
      <w:pPr>
        <w:keepNext/>
        <w:rPr>
          <w:rFonts w:cs="Arial"/>
          <w:b/>
        </w:rPr>
      </w:pPr>
      <w:r w:rsidRPr="00DA12F6">
        <w:rPr>
          <w:rFonts w:cs="Arial"/>
          <w:b/>
        </w:rPr>
        <w:t>Discussion and conclusion:</w:t>
      </w:r>
    </w:p>
    <w:p w14:paraId="60ADB641" w14:textId="35BFBD88" w:rsidR="00F5598B" w:rsidRDefault="00F5598B" w:rsidP="00F5598B">
      <w:pPr>
        <w:rPr>
          <w:lang w:eastAsia="en-US"/>
        </w:rPr>
      </w:pPr>
      <w:r>
        <w:rPr>
          <w:lang w:eastAsia="en-US"/>
        </w:rPr>
        <w:t>A.6: It was clarified that for China, even with a positive Antibody test passengers may board the plane with a valid vaccination certificate.</w:t>
      </w:r>
    </w:p>
    <w:p w14:paraId="534E84F2" w14:textId="0BEABDA9" w:rsidR="00F5598B" w:rsidRDefault="00F5598B" w:rsidP="00F5598B">
      <w:pPr>
        <w:rPr>
          <w:lang w:eastAsia="en-US"/>
        </w:rPr>
      </w:pPr>
      <w:r>
        <w:rPr>
          <w:lang w:eastAsia="en-US"/>
        </w:rPr>
        <w:t>U.5: TTC and CCSA regions have a 14 day quarantine on return to home country. This is an area which will need to be evaluated and will be a critical issue on the decision to be made.</w:t>
      </w:r>
    </w:p>
    <w:p w14:paraId="120B92B1" w14:textId="06449A65" w:rsidR="00F5598B" w:rsidRDefault="00F5598B" w:rsidP="00F5598B">
      <w:pPr>
        <w:rPr>
          <w:lang w:eastAsia="en-US"/>
        </w:rPr>
      </w:pPr>
      <w:r>
        <w:rPr>
          <w:lang w:eastAsia="en-US"/>
        </w:rPr>
        <w:t>X.1: Mandatory App installation was not considered acceptable by ATIS and ETSI regions. The use of a rental smartphone solution for installing Apps should be reviewed. Johannes Achter (ETSI) asked whether it is required to install the Korean App rather than any alternative tracking App. TTA replied that only the Korean government App is acceptable and this is needed on entry to Korea to avoid denied entry.</w:t>
      </w:r>
    </w:p>
    <w:p w14:paraId="10E3BD88" w14:textId="0BE05328" w:rsidR="00F5598B" w:rsidRDefault="00F5598B" w:rsidP="00F5598B">
      <w:pPr>
        <w:rPr>
          <w:lang w:eastAsia="en-US"/>
        </w:rPr>
      </w:pPr>
      <w:r>
        <w:rPr>
          <w:lang w:eastAsia="en-US"/>
        </w:rPr>
        <w:t>The Convenor commented that it would be difficult to arrange a meeting between March-May 2022 under current regulations. Georg Mayer (TSG SA) commented that this is unfortunate but is the only realistic way forward in h</w:t>
      </w:r>
      <w:r w:rsidR="004D02FE">
        <w:rPr>
          <w:lang w:eastAsia="en-US"/>
        </w:rPr>
        <w:t>i</w:t>
      </w:r>
      <w:r>
        <w:rPr>
          <w:lang w:eastAsia="en-US"/>
        </w:rPr>
        <w:t xml:space="preserve">s opinion and it is most likely not feasible to hold the March TSGs as face to face. Luis Jorge Romero (ETSI) agreed. </w:t>
      </w:r>
      <w:r w:rsidR="004D02FE">
        <w:rPr>
          <w:lang w:eastAsia="en-US"/>
        </w:rPr>
        <w:t xml:space="preserve">Suresh Chitturi (SA WG6 Chair/TSDSI) </w:t>
      </w:r>
      <w:r>
        <w:rPr>
          <w:lang w:eastAsia="en-US"/>
        </w:rPr>
        <w:t xml:space="preserve">agreed. Lionel </w:t>
      </w:r>
      <w:r w:rsidR="00FB13CD">
        <w:rPr>
          <w:lang w:eastAsia="en-US"/>
        </w:rPr>
        <w:t xml:space="preserve">Morand </w:t>
      </w:r>
      <w:r>
        <w:rPr>
          <w:lang w:eastAsia="en-US"/>
        </w:rPr>
        <w:t xml:space="preserve">(TSG CT) agreed that March 2022 did not look realistic and consequently also the April-May WG meetings. Iain Sharpe (ATIS) agreed. Kyoung Cheol (TTA) apologised that they could not hold the March TSG meetings and agreed that it was unrealistic at this time. </w:t>
      </w:r>
    </w:p>
    <w:p w14:paraId="54B2A89C" w14:textId="52AECACC" w:rsidR="00F5598B" w:rsidRDefault="00F5598B" w:rsidP="00F5598B">
      <w:pPr>
        <w:rPr>
          <w:lang w:eastAsia="en-US"/>
        </w:rPr>
      </w:pPr>
      <w:r>
        <w:rPr>
          <w:lang w:eastAsia="en-US"/>
        </w:rPr>
        <w:t>The OPs were thanked for contributing to this effort in providing inputs to this call.</w:t>
      </w:r>
    </w:p>
    <w:p w14:paraId="6F7232F2" w14:textId="77777777" w:rsidR="00F5598B" w:rsidRDefault="00F5598B" w:rsidP="00F5598B">
      <w:pPr>
        <w:rPr>
          <w:lang w:eastAsia="en-US"/>
        </w:rPr>
      </w:pPr>
    </w:p>
    <w:p w14:paraId="5B85C412" w14:textId="357BDAF1" w:rsidR="00F5598B" w:rsidRDefault="00F5598B" w:rsidP="00F5598B">
      <w:pPr>
        <w:rPr>
          <w:lang w:eastAsia="en-US"/>
        </w:rPr>
      </w:pPr>
      <w:r>
        <w:rPr>
          <w:lang w:eastAsia="en-US"/>
        </w:rPr>
        <w:t>All 3GPP Meetings until May 2022 will continue to be planned as electronic meetings.</w:t>
      </w:r>
    </w:p>
    <w:p w14:paraId="001DD23D" w14:textId="77777777" w:rsidR="00F5598B" w:rsidRDefault="00F5598B" w:rsidP="00F5598B">
      <w:pPr>
        <w:rPr>
          <w:lang w:eastAsia="en-US"/>
        </w:rPr>
      </w:pPr>
    </w:p>
    <w:p w14:paraId="106965A6" w14:textId="006B3990" w:rsidR="00F5598B" w:rsidRDefault="00FB13CD" w:rsidP="00A51EF0">
      <w:pPr>
        <w:keepNext/>
        <w:pBdr>
          <w:top w:val="single" w:sz="4" w:space="1" w:color="auto"/>
        </w:pBdr>
        <w:rPr>
          <w:lang w:eastAsia="en-US"/>
        </w:rPr>
      </w:pPr>
      <w:hyperlink r:id="rId13" w:history="1">
        <w:r w:rsidR="00F5598B" w:rsidRPr="00F5598B">
          <w:rPr>
            <w:rStyle w:val="Hyperlink"/>
            <w:lang w:eastAsia="en-US"/>
          </w:rPr>
          <w:t>OPf210003</w:t>
        </w:r>
      </w:hyperlink>
      <w:r w:rsidR="00F5598B" w:rsidRPr="00F5598B">
        <w:rPr>
          <w:lang w:eastAsia="en-US"/>
        </w:rPr>
        <w:t xml:space="preserve"> </w:t>
      </w:r>
      <w:r w:rsidR="00A51EF0">
        <w:rPr>
          <w:lang w:eastAsia="en-US"/>
        </w:rPr>
        <w:t>Template for the hosting OP to report status of key criteria. ARIB/TTC</w:t>
      </w:r>
    </w:p>
    <w:p w14:paraId="6B5E85D8" w14:textId="77777777" w:rsidR="00F5598B" w:rsidRPr="00DA12F6" w:rsidRDefault="00F5598B" w:rsidP="00F5598B">
      <w:pPr>
        <w:keepNext/>
        <w:rPr>
          <w:rFonts w:cs="Arial"/>
          <w:b/>
        </w:rPr>
      </w:pPr>
      <w:r w:rsidRPr="00DA12F6">
        <w:rPr>
          <w:rFonts w:cs="Arial"/>
          <w:b/>
        </w:rPr>
        <w:t>Discussion and conclusion:</w:t>
      </w:r>
    </w:p>
    <w:p w14:paraId="2441990B" w14:textId="5EA4D07F" w:rsidR="00F5598B" w:rsidRDefault="005D47AF" w:rsidP="00F5598B">
      <w:pPr>
        <w:rPr>
          <w:lang w:eastAsia="en-US"/>
        </w:rPr>
      </w:pPr>
      <w:r>
        <w:rPr>
          <w:lang w:eastAsia="en-US"/>
        </w:rPr>
        <w:t xml:space="preserve">This was covered by </w:t>
      </w:r>
      <w:r w:rsidRPr="005D47AF">
        <w:rPr>
          <w:color w:val="0000FF"/>
          <w:lang w:eastAsia="en-US"/>
        </w:rPr>
        <w:t>OPf210011</w:t>
      </w:r>
      <w:r>
        <w:rPr>
          <w:lang w:eastAsia="en-US"/>
        </w:rPr>
        <w:t xml:space="preserve"> and was </w:t>
      </w:r>
      <w:r w:rsidRPr="005D47AF">
        <w:rPr>
          <w:color w:val="0000FF"/>
          <w:lang w:eastAsia="en-US"/>
        </w:rPr>
        <w:t>noted</w:t>
      </w:r>
      <w:r>
        <w:rPr>
          <w:lang w:eastAsia="en-US"/>
        </w:rPr>
        <w:t>.</w:t>
      </w:r>
    </w:p>
    <w:p w14:paraId="58541AA4" w14:textId="77777777" w:rsidR="00F5598B" w:rsidRDefault="00F5598B" w:rsidP="00F5598B">
      <w:pPr>
        <w:rPr>
          <w:lang w:eastAsia="en-US"/>
        </w:rPr>
      </w:pPr>
    </w:p>
    <w:p w14:paraId="5D2AF26F" w14:textId="5C304DE4" w:rsidR="00F5598B" w:rsidRDefault="00FB13CD" w:rsidP="00A51EF0">
      <w:pPr>
        <w:keepNext/>
        <w:pBdr>
          <w:top w:val="single" w:sz="4" w:space="1" w:color="auto"/>
        </w:pBdr>
        <w:rPr>
          <w:lang w:eastAsia="en-US"/>
        </w:rPr>
      </w:pPr>
      <w:hyperlink r:id="rId14" w:history="1">
        <w:r w:rsidR="00F5598B" w:rsidRPr="00F5598B">
          <w:rPr>
            <w:rStyle w:val="Hyperlink"/>
            <w:lang w:eastAsia="en-US"/>
          </w:rPr>
          <w:t>OPf210004</w:t>
        </w:r>
      </w:hyperlink>
      <w:r w:rsidR="00F5598B" w:rsidRPr="00F5598B">
        <w:rPr>
          <w:lang w:eastAsia="en-US"/>
        </w:rPr>
        <w:t xml:space="preserve"> </w:t>
      </w:r>
      <w:r w:rsidR="00A51EF0">
        <w:rPr>
          <w:lang w:eastAsia="en-US"/>
        </w:rPr>
        <w:t>Template for the hosting OP to report status of key criteria. ATIS</w:t>
      </w:r>
    </w:p>
    <w:p w14:paraId="388407DC" w14:textId="77777777" w:rsidR="00F5598B" w:rsidRPr="00DA12F6" w:rsidRDefault="00F5598B" w:rsidP="00F5598B">
      <w:pPr>
        <w:keepNext/>
        <w:rPr>
          <w:rFonts w:cs="Arial"/>
          <w:b/>
        </w:rPr>
      </w:pPr>
      <w:r w:rsidRPr="00DA12F6">
        <w:rPr>
          <w:rFonts w:cs="Arial"/>
          <w:b/>
        </w:rPr>
        <w:t>Discussion and conclusion:</w:t>
      </w:r>
    </w:p>
    <w:p w14:paraId="3C2E5904" w14:textId="341F2A9F" w:rsidR="00F5598B" w:rsidRDefault="005D47AF" w:rsidP="00F5598B">
      <w:pPr>
        <w:rPr>
          <w:lang w:eastAsia="en-US"/>
        </w:rPr>
      </w:pPr>
      <w:r>
        <w:rPr>
          <w:lang w:eastAsia="en-US"/>
        </w:rPr>
        <w:t xml:space="preserve">This was covered by </w:t>
      </w:r>
      <w:r w:rsidRPr="005D47AF">
        <w:rPr>
          <w:color w:val="0000FF"/>
          <w:lang w:eastAsia="en-US"/>
        </w:rPr>
        <w:t>OPf210011</w:t>
      </w:r>
      <w:r>
        <w:rPr>
          <w:lang w:eastAsia="en-US"/>
        </w:rPr>
        <w:t xml:space="preserve"> and was </w:t>
      </w:r>
      <w:r w:rsidRPr="005D47AF">
        <w:rPr>
          <w:color w:val="0000FF"/>
          <w:lang w:eastAsia="en-US"/>
        </w:rPr>
        <w:t>noted</w:t>
      </w:r>
      <w:r>
        <w:rPr>
          <w:lang w:eastAsia="en-US"/>
        </w:rPr>
        <w:t>.</w:t>
      </w:r>
    </w:p>
    <w:p w14:paraId="3EEC2B95" w14:textId="77777777" w:rsidR="00F5598B" w:rsidRDefault="00F5598B" w:rsidP="00F5598B">
      <w:pPr>
        <w:rPr>
          <w:lang w:eastAsia="en-US"/>
        </w:rPr>
      </w:pPr>
    </w:p>
    <w:p w14:paraId="77CF1F75" w14:textId="15730B10" w:rsidR="00F5598B" w:rsidRDefault="00FB13CD" w:rsidP="00A51EF0">
      <w:pPr>
        <w:keepNext/>
        <w:pBdr>
          <w:top w:val="single" w:sz="4" w:space="1" w:color="auto"/>
        </w:pBdr>
        <w:rPr>
          <w:lang w:eastAsia="en-US"/>
        </w:rPr>
      </w:pPr>
      <w:hyperlink r:id="rId15" w:history="1">
        <w:r w:rsidR="00F5598B" w:rsidRPr="00F5598B">
          <w:rPr>
            <w:rStyle w:val="Hyperlink"/>
            <w:lang w:eastAsia="en-US"/>
          </w:rPr>
          <w:t>OPf210005</w:t>
        </w:r>
      </w:hyperlink>
      <w:r w:rsidR="00F5598B" w:rsidRPr="00F5598B">
        <w:rPr>
          <w:lang w:eastAsia="en-US"/>
        </w:rPr>
        <w:t xml:space="preserve"> </w:t>
      </w:r>
      <w:r w:rsidR="00A51EF0">
        <w:rPr>
          <w:lang w:eastAsia="en-US"/>
        </w:rPr>
        <w:t>TSDSI report on status of key criteria for the Decision Meeting. TSDSI</w:t>
      </w:r>
    </w:p>
    <w:p w14:paraId="5E076DA8" w14:textId="77777777" w:rsidR="00F5598B" w:rsidRPr="00DA12F6" w:rsidRDefault="00F5598B" w:rsidP="00F5598B">
      <w:pPr>
        <w:keepNext/>
        <w:rPr>
          <w:rFonts w:cs="Arial"/>
          <w:b/>
        </w:rPr>
      </w:pPr>
      <w:r w:rsidRPr="00DA12F6">
        <w:rPr>
          <w:rFonts w:cs="Arial"/>
          <w:b/>
        </w:rPr>
        <w:t>Discussion and conclusion:</w:t>
      </w:r>
    </w:p>
    <w:p w14:paraId="5E069F0B" w14:textId="52EEBA7D" w:rsidR="00F5598B" w:rsidRDefault="005D47AF" w:rsidP="00F5598B">
      <w:pPr>
        <w:rPr>
          <w:lang w:eastAsia="en-US"/>
        </w:rPr>
      </w:pPr>
      <w:r>
        <w:rPr>
          <w:lang w:eastAsia="en-US"/>
        </w:rPr>
        <w:t xml:space="preserve">This was covered by </w:t>
      </w:r>
      <w:r w:rsidRPr="005D47AF">
        <w:rPr>
          <w:color w:val="0000FF"/>
          <w:lang w:eastAsia="en-US"/>
        </w:rPr>
        <w:t>OPf210011</w:t>
      </w:r>
      <w:r>
        <w:rPr>
          <w:lang w:eastAsia="en-US"/>
        </w:rPr>
        <w:t xml:space="preserve"> and was </w:t>
      </w:r>
      <w:r w:rsidRPr="005D47AF">
        <w:rPr>
          <w:color w:val="0000FF"/>
          <w:lang w:eastAsia="en-US"/>
        </w:rPr>
        <w:t>noted</w:t>
      </w:r>
      <w:r>
        <w:rPr>
          <w:lang w:eastAsia="en-US"/>
        </w:rPr>
        <w:t>.</w:t>
      </w:r>
    </w:p>
    <w:p w14:paraId="2E26268D" w14:textId="77777777" w:rsidR="00F5598B" w:rsidRDefault="00F5598B" w:rsidP="00F5598B">
      <w:pPr>
        <w:rPr>
          <w:lang w:eastAsia="en-US"/>
        </w:rPr>
      </w:pPr>
    </w:p>
    <w:p w14:paraId="1008A1D9" w14:textId="73040374" w:rsidR="00F5598B" w:rsidRDefault="00FB13CD" w:rsidP="00A51EF0">
      <w:pPr>
        <w:keepNext/>
        <w:pBdr>
          <w:top w:val="single" w:sz="4" w:space="1" w:color="auto"/>
        </w:pBdr>
        <w:rPr>
          <w:lang w:eastAsia="en-US"/>
        </w:rPr>
      </w:pPr>
      <w:hyperlink r:id="rId16" w:history="1">
        <w:r w:rsidR="00F5598B" w:rsidRPr="00F5598B">
          <w:rPr>
            <w:rStyle w:val="Hyperlink"/>
            <w:lang w:eastAsia="en-US"/>
          </w:rPr>
          <w:t>OPf210006</w:t>
        </w:r>
      </w:hyperlink>
      <w:r w:rsidR="00F5598B" w:rsidRPr="00F5598B">
        <w:rPr>
          <w:lang w:eastAsia="en-US"/>
        </w:rPr>
        <w:t xml:space="preserve"> </w:t>
      </w:r>
      <w:r w:rsidR="00A51EF0">
        <w:rPr>
          <w:lang w:eastAsia="en-US"/>
        </w:rPr>
        <w:t>Template for the hosting OP to report status of key criteria. Organizational Partner CCSA</w:t>
      </w:r>
    </w:p>
    <w:p w14:paraId="5B6C8AF5" w14:textId="77777777" w:rsidR="00F5598B" w:rsidRPr="00DA12F6" w:rsidRDefault="00F5598B" w:rsidP="00F5598B">
      <w:pPr>
        <w:keepNext/>
        <w:rPr>
          <w:rFonts w:cs="Arial"/>
          <w:b/>
        </w:rPr>
      </w:pPr>
      <w:r w:rsidRPr="00DA12F6">
        <w:rPr>
          <w:rFonts w:cs="Arial"/>
          <w:b/>
        </w:rPr>
        <w:t>Discussion and conclusion:</w:t>
      </w:r>
    </w:p>
    <w:p w14:paraId="6E1BAD13" w14:textId="6D587036" w:rsidR="00F5598B" w:rsidRDefault="005D47AF" w:rsidP="00F5598B">
      <w:pPr>
        <w:rPr>
          <w:lang w:eastAsia="en-US"/>
        </w:rPr>
      </w:pPr>
      <w:r>
        <w:rPr>
          <w:lang w:eastAsia="en-US"/>
        </w:rPr>
        <w:t xml:space="preserve">This was covered by </w:t>
      </w:r>
      <w:r w:rsidRPr="005D47AF">
        <w:rPr>
          <w:color w:val="0000FF"/>
          <w:lang w:eastAsia="en-US"/>
        </w:rPr>
        <w:t>OPf210011</w:t>
      </w:r>
      <w:r>
        <w:rPr>
          <w:lang w:eastAsia="en-US"/>
        </w:rPr>
        <w:t xml:space="preserve"> and was </w:t>
      </w:r>
      <w:r w:rsidRPr="005D47AF">
        <w:rPr>
          <w:color w:val="0000FF"/>
          <w:lang w:eastAsia="en-US"/>
        </w:rPr>
        <w:t>noted</w:t>
      </w:r>
      <w:r>
        <w:rPr>
          <w:lang w:eastAsia="en-US"/>
        </w:rPr>
        <w:t>.</w:t>
      </w:r>
    </w:p>
    <w:p w14:paraId="72F88601" w14:textId="77777777" w:rsidR="00F5598B" w:rsidRDefault="00F5598B" w:rsidP="00F5598B">
      <w:pPr>
        <w:rPr>
          <w:lang w:eastAsia="en-US"/>
        </w:rPr>
      </w:pPr>
    </w:p>
    <w:p w14:paraId="6392C998" w14:textId="04E23F03" w:rsidR="00F5598B" w:rsidRDefault="00FB13CD" w:rsidP="00A51EF0">
      <w:pPr>
        <w:keepNext/>
        <w:pBdr>
          <w:top w:val="single" w:sz="4" w:space="1" w:color="auto"/>
        </w:pBdr>
        <w:rPr>
          <w:lang w:eastAsia="en-US"/>
        </w:rPr>
      </w:pPr>
      <w:hyperlink r:id="rId17" w:history="1">
        <w:r w:rsidR="00F5598B" w:rsidRPr="00F5598B">
          <w:rPr>
            <w:rStyle w:val="Hyperlink"/>
            <w:lang w:eastAsia="en-US"/>
          </w:rPr>
          <w:t>OPf210007</w:t>
        </w:r>
      </w:hyperlink>
      <w:r w:rsidR="00F5598B" w:rsidRPr="00F5598B">
        <w:rPr>
          <w:lang w:eastAsia="en-US"/>
        </w:rPr>
        <w:t xml:space="preserve"> </w:t>
      </w:r>
      <w:r w:rsidR="00A51EF0">
        <w:rPr>
          <w:lang w:eastAsia="en-US"/>
        </w:rPr>
        <w:t>Template for the hosting OP to report status of key criteria. Organizational Partner ETSI</w:t>
      </w:r>
    </w:p>
    <w:p w14:paraId="30DF6614" w14:textId="77777777" w:rsidR="00F5598B" w:rsidRPr="00DA12F6" w:rsidRDefault="00F5598B" w:rsidP="00F5598B">
      <w:pPr>
        <w:keepNext/>
        <w:rPr>
          <w:rFonts w:cs="Arial"/>
          <w:b/>
        </w:rPr>
      </w:pPr>
      <w:r w:rsidRPr="00DA12F6">
        <w:rPr>
          <w:rFonts w:cs="Arial"/>
          <w:b/>
        </w:rPr>
        <w:t>Discussion and conclusion:</w:t>
      </w:r>
    </w:p>
    <w:p w14:paraId="055BE2B0" w14:textId="524FCBF7" w:rsidR="00F5598B" w:rsidRDefault="005D47AF" w:rsidP="00F5598B">
      <w:pPr>
        <w:rPr>
          <w:lang w:eastAsia="en-US"/>
        </w:rPr>
      </w:pPr>
      <w:r>
        <w:rPr>
          <w:lang w:eastAsia="en-US"/>
        </w:rPr>
        <w:t xml:space="preserve">This was covered by </w:t>
      </w:r>
      <w:r w:rsidRPr="005D47AF">
        <w:rPr>
          <w:color w:val="0000FF"/>
          <w:lang w:eastAsia="en-US"/>
        </w:rPr>
        <w:t>OPf210011</w:t>
      </w:r>
      <w:r>
        <w:rPr>
          <w:lang w:eastAsia="en-US"/>
        </w:rPr>
        <w:t xml:space="preserve"> and was </w:t>
      </w:r>
      <w:r w:rsidRPr="005D47AF">
        <w:rPr>
          <w:color w:val="0000FF"/>
          <w:lang w:eastAsia="en-US"/>
        </w:rPr>
        <w:t>noted</w:t>
      </w:r>
      <w:r>
        <w:rPr>
          <w:lang w:eastAsia="en-US"/>
        </w:rPr>
        <w:t>.</w:t>
      </w:r>
    </w:p>
    <w:p w14:paraId="233242FA" w14:textId="77777777" w:rsidR="00F5598B" w:rsidRDefault="00F5598B" w:rsidP="00F5598B">
      <w:pPr>
        <w:rPr>
          <w:lang w:eastAsia="en-US"/>
        </w:rPr>
      </w:pPr>
    </w:p>
    <w:p w14:paraId="1845D19A" w14:textId="32CA50DC" w:rsidR="00F5598B" w:rsidRDefault="00F5598B" w:rsidP="00837DE3">
      <w:pPr>
        <w:pStyle w:val="Heading1"/>
      </w:pPr>
      <w:r>
        <w:t>5</w:t>
      </w:r>
      <w:r>
        <w:tab/>
        <w:t>Next steps</w:t>
      </w:r>
    </w:p>
    <w:p w14:paraId="6F7B3816" w14:textId="0A443055" w:rsidR="00F5598B" w:rsidRDefault="00FB13CD" w:rsidP="00F5598B">
      <w:pPr>
        <w:keepNext/>
        <w:rPr>
          <w:lang w:eastAsia="en-US"/>
        </w:rPr>
      </w:pPr>
      <w:hyperlink r:id="rId18" w:history="1">
        <w:r w:rsidR="00F5598B" w:rsidRPr="00F5598B">
          <w:rPr>
            <w:rStyle w:val="Hyperlink"/>
            <w:lang w:eastAsia="en-US"/>
          </w:rPr>
          <w:t>OPf210010</w:t>
        </w:r>
      </w:hyperlink>
      <w:r w:rsidR="00F5598B">
        <w:rPr>
          <w:lang w:eastAsia="en-US"/>
        </w:rPr>
        <w:t xml:space="preserve"> </w:t>
      </w:r>
      <w:r w:rsidR="00A51EF0">
        <w:rPr>
          <w:lang w:eastAsia="en-US"/>
        </w:rPr>
        <w:t>Proposed next steps. F2F Decision Meeting Convenor (Balazs Bertenyi)</w:t>
      </w:r>
    </w:p>
    <w:p w14:paraId="7BB3EA0D" w14:textId="77777777" w:rsidR="005D47AF" w:rsidRPr="005D47AF" w:rsidRDefault="005D47AF" w:rsidP="005D47AF">
      <w:pPr>
        <w:pStyle w:val="FP"/>
        <w:rPr>
          <w:b/>
          <w:bCs/>
          <w:lang w:eastAsia="en-US"/>
        </w:rPr>
      </w:pPr>
      <w:r w:rsidRPr="005D47AF">
        <w:rPr>
          <w:b/>
          <w:bCs/>
          <w:lang w:eastAsia="en-US"/>
        </w:rPr>
        <w:t>Introduction</w:t>
      </w:r>
    </w:p>
    <w:p w14:paraId="5535B0CE" w14:textId="77777777" w:rsidR="005D47AF" w:rsidRDefault="005D47AF" w:rsidP="005D47AF">
      <w:pPr>
        <w:pStyle w:val="FP"/>
        <w:rPr>
          <w:lang w:eastAsia="en-US"/>
        </w:rPr>
      </w:pPr>
      <w:r>
        <w:rPr>
          <w:lang w:eastAsia="en-US"/>
        </w:rPr>
        <w:t>Based on input from the Organizational Partners it is apparent that there are still some substantial stumbling blocks ahead of resuming F2F 3GPP meetings. Nevertheless, it is likely that 2022 will be the year where the world starts to truly learn to live together with Covid, and all regular activities will resume in some shape or form.</w:t>
      </w:r>
    </w:p>
    <w:p w14:paraId="2EAB723C" w14:textId="77777777" w:rsidR="005D47AF" w:rsidRDefault="005D47AF" w:rsidP="005D47AF">
      <w:pPr>
        <w:pStyle w:val="FP"/>
        <w:rPr>
          <w:lang w:eastAsia="en-US"/>
        </w:rPr>
      </w:pPr>
      <w:r>
        <w:rPr>
          <w:lang w:eastAsia="en-US"/>
        </w:rPr>
        <w:t>3GPP has setup the institution of F2F Decision Meetings to determine the right time for resumption of F2F meetings with a F2F DM scheduled ~3 months ahead of each TSG. Whilst this is a very good vehicle to make a final decision, it would also be beneficial to do some more continuous tracking and a dedicated action plan for a committed F2F return of 3GPP.</w:t>
      </w:r>
    </w:p>
    <w:p w14:paraId="356A9C2C" w14:textId="77777777" w:rsidR="005D47AF" w:rsidRPr="005D47AF" w:rsidRDefault="005D47AF" w:rsidP="005D47AF">
      <w:pPr>
        <w:pStyle w:val="FP"/>
        <w:rPr>
          <w:b/>
          <w:bCs/>
          <w:lang w:eastAsia="en-US"/>
        </w:rPr>
      </w:pPr>
      <w:r w:rsidRPr="005D47AF">
        <w:rPr>
          <w:b/>
          <w:bCs/>
          <w:lang w:eastAsia="en-US"/>
        </w:rPr>
        <w:t>Proposal</w:t>
      </w:r>
    </w:p>
    <w:p w14:paraId="523A9A85" w14:textId="42BDA125" w:rsidR="005D47AF" w:rsidRDefault="005D47AF" w:rsidP="005D47AF">
      <w:pPr>
        <w:pStyle w:val="B1"/>
      </w:pPr>
      <w:r>
        <w:t>-</w:t>
      </w:r>
      <w:r>
        <w:tab/>
        <w:t>It is proposed to make an</w:t>
      </w:r>
      <w:r w:rsidRPr="005D47AF">
        <w:rPr>
          <w:b/>
          <w:bCs/>
          <w:u w:val="single"/>
        </w:rPr>
        <w:t xml:space="preserve"> initial commitment</w:t>
      </w:r>
      <w:r>
        <w:t xml:space="preserve"> for 3GPP to hold F2F meetings at the June/2022 TSG plenary, and the subsequent August/2022 WG meetings.</w:t>
      </w:r>
    </w:p>
    <w:p w14:paraId="303BFD27" w14:textId="332862F3" w:rsidR="005D47AF" w:rsidRDefault="005D47AF" w:rsidP="005D47AF">
      <w:pPr>
        <w:pStyle w:val="B1"/>
      </w:pPr>
      <w:r>
        <w:t>-</w:t>
      </w:r>
      <w:r>
        <w:tab/>
        <w:t>It is proposed to set up a dedicated Action Plan towards alleviating the remaining stumbling blocks for the resumption, and detailed tracking of the identified key criteria.</w:t>
      </w:r>
    </w:p>
    <w:p w14:paraId="1F85F72C" w14:textId="611EA49C" w:rsidR="005D47AF" w:rsidRDefault="005D47AF" w:rsidP="005D47AF">
      <w:pPr>
        <w:pStyle w:val="B1"/>
      </w:pPr>
      <w:r>
        <w:t>-</w:t>
      </w:r>
      <w:r>
        <w:tab/>
        <w:t>It is proposed to have an intermediate F2F Decision Meeting around ~20/January to review the status, and then the formal F2F Decision Meeting ~1/March.</w:t>
      </w:r>
    </w:p>
    <w:p w14:paraId="1C252E50" w14:textId="086B82CF" w:rsidR="005D47AF" w:rsidRDefault="005D47AF" w:rsidP="005D47AF">
      <w:pPr>
        <w:pStyle w:val="FP"/>
        <w:rPr>
          <w:lang w:eastAsia="en-US"/>
        </w:rPr>
      </w:pPr>
    </w:p>
    <w:p w14:paraId="23BCA787" w14:textId="77777777" w:rsidR="00F5598B" w:rsidRPr="00DA12F6" w:rsidRDefault="00F5598B" w:rsidP="00F5598B">
      <w:pPr>
        <w:keepNext/>
        <w:rPr>
          <w:rFonts w:cs="Arial"/>
          <w:b/>
        </w:rPr>
      </w:pPr>
      <w:r w:rsidRPr="00DA12F6">
        <w:rPr>
          <w:rFonts w:cs="Arial"/>
          <w:b/>
        </w:rPr>
        <w:t>Discussion and conclusion:</w:t>
      </w:r>
    </w:p>
    <w:p w14:paraId="6CB8BE77" w14:textId="5FC93BF3" w:rsidR="005D47AF" w:rsidRDefault="005D47AF" w:rsidP="00F5598B">
      <w:pPr>
        <w:rPr>
          <w:lang w:eastAsia="en-US"/>
        </w:rPr>
      </w:pPr>
      <w:r>
        <w:rPr>
          <w:lang w:eastAsia="en-US"/>
        </w:rPr>
        <w:t xml:space="preserve">Georg Mayer (TSG SA) commented that we need to start looking positively to resumption of F2F and suggested the decision on June 2022 TSG meetings and the decision for WG meetings from August should be decoupled to be able to select some WG meetings to start resuming F2F on rather than resuming all F2F meetings together. It would be useful to send the invitation information for meetings soon to allow delegates to determine whether they need vaccinations and Visas in good time. He also clarified that the discussions can happen in January but the decision on the June TSGs will be taken in March 2022. Iain Sharpe (ATIS) commented that the decision to hold the TSGs in June 2022 will not automatically mean all WGs will also start meeting F2F. WG meeting planning can be discussed once a decision has been made to go to TSG F2F meetings, but the discussions on this should be done in the same F2F Decision meetings. Puneet Jain (SA WG2) commented that it is OK to make a decision for each meeting separately, but expected the same criteria to be used for the decision on all F2F meetings. The Convenor replied that there may be some cases which allow some criteria to be waived, e.g. a small WG meeting where the criteria can be acceptable. Luis Jorge Romero commented that he expected the criteria to be applied on a case by case basis, but as it is not, then at least each group should be able to make its own decision on whether to hold it's meetings electronically or physically when the criteria are met. </w:t>
      </w:r>
      <w:r w:rsidR="004D02FE">
        <w:rPr>
          <w:lang w:eastAsia="en-US"/>
        </w:rPr>
        <w:t xml:space="preserve">Suresh Chitturi (SA WG6 Chair/TSDSI) </w:t>
      </w:r>
      <w:r>
        <w:rPr>
          <w:lang w:eastAsia="en-US"/>
        </w:rPr>
        <w:t xml:space="preserve">commented that it makes sense to separate out the criteria of TSG and WG meetings rather than making decisions for all groups for 3-4 months and added that if a decision is made for WGs to go </w:t>
      </w:r>
      <w:r>
        <w:rPr>
          <w:lang w:eastAsia="en-US"/>
        </w:rPr>
        <w:lastRenderedPageBreak/>
        <w:t>back to F2F then it should apply to all WGs rather than need to explain why certain meetings only were chosen. The Convenor replied that there is likely to be need for electronic meetings for Q1/2022 and there is likely to then be a mix of F2F and electronic meetings, with the TSGs being the first F2F meetings when resumed. Johannes Achter (ETSI) commented that there needs to be a pre-selectin of locations well in advance of the decision to resume F2F meetings in order to pre-book venues. In Europe there are varying regulations in different countries and decoupling the TSGs and WGs should not decouple the decision of when F2F meetings can resume in order to allow efficient venue planning. Iain Sharpe (ATIS) commented that WG meetings may be in different locations and therefore each WG decision will be case by case and the OP needs to be allowed to determine whether they can accept the COVID-related travel regulations on a case by case basis. Locations may need to be changed if the regulations make it necessary, but this is a different area of discussion. Chang Duan (CCSA) were not sure whether to decouple the TSG and WG meetings but considered it was a good decision to start planning for F2F meetings from March 2022. Zukang Shen (CCSA) commented that there may be locations which allow simpler travel restrictions for delegates entering and leaving the Host region and this should also be taken into account, as well as trying to hold meetings which are close together in the same region in order to reduce the need for multiple visa applications. CSA would also prefer to await the result of the WG meetings until after the first TSG F2F meeting, but this may have impact for Hosts. Iain Sharpe (ATIS) commented that for Hosting, it would be useful to have an indication on whether the August 2022 inwards meetings are likely to go ahead. Johannes Achter (ETSI) commented that there are still going to be heavy restrictions on trave for June 2022 and this needs to be clear in the invitations in order not to confuse delegates if changes are needed. Georg Mayer (TSG SA) commented that we need to be careful not to plan ahead too much, the focus should really be on the June meeting and get early invitations out for June (and August, for Visa reasons), but any further plan is most likely subject to heavy change.</w:t>
      </w:r>
      <w:r w:rsidRPr="005D47AF">
        <w:rPr>
          <w:lang w:eastAsia="en-US"/>
        </w:rPr>
        <w:t xml:space="preserve"> </w:t>
      </w:r>
    </w:p>
    <w:p w14:paraId="1773AA88" w14:textId="7D81E4BA" w:rsidR="00F5598B" w:rsidRDefault="005D47AF" w:rsidP="00F5598B">
      <w:pPr>
        <w:rPr>
          <w:lang w:eastAsia="en-US"/>
        </w:rPr>
      </w:pPr>
      <w:r>
        <w:rPr>
          <w:lang w:eastAsia="en-US"/>
        </w:rPr>
        <w:t xml:space="preserve">Johannes Achter (ETSI) commented that as a European host, the planning needs to be done before the decisions are made in order to secure locations and need to now plan until end of 2022 and beginning of 2023. Cancellation deadlines need to be taken into account and decision to cancel or not made before those deadlines. Other hosting regions were encouraged to do something similar. Issam Toufic (ETSI) commented that decisions on a WG basis may not result in the contracts with hosts being maintained if they have been negotiated on the basis of holding a certain number of meetings, so the decision should be made for all related meetings. Such contract dependencies should be provided into the decision meetings. </w:t>
      </w:r>
    </w:p>
    <w:p w14:paraId="5E2614B1" w14:textId="77777777" w:rsidR="005D47AF" w:rsidRDefault="005D47AF" w:rsidP="00F5598B">
      <w:pPr>
        <w:rPr>
          <w:lang w:eastAsia="en-US"/>
        </w:rPr>
      </w:pPr>
    </w:p>
    <w:p w14:paraId="1E8EBF41" w14:textId="289F0F01" w:rsidR="005D47AF" w:rsidRDefault="005D47AF" w:rsidP="00F5598B">
      <w:pPr>
        <w:rPr>
          <w:lang w:eastAsia="en-US"/>
        </w:rPr>
      </w:pPr>
      <w:r>
        <w:rPr>
          <w:lang w:eastAsia="en-US"/>
        </w:rPr>
        <w:t xml:space="preserve">If all criteria turn green then we go back to F2F. Currently the red issues may be worked around by location and meeting selection and potential waiving of criteria from the OP perspective. </w:t>
      </w:r>
    </w:p>
    <w:p w14:paraId="790F60D7" w14:textId="5E03233F" w:rsidR="005D47AF" w:rsidRDefault="005D47AF" w:rsidP="00F5598B">
      <w:pPr>
        <w:rPr>
          <w:lang w:eastAsia="en-US"/>
        </w:rPr>
      </w:pPr>
    </w:p>
    <w:p w14:paraId="396C0D91" w14:textId="2F0BDE5A" w:rsidR="005D47AF" w:rsidRPr="005D47AF" w:rsidRDefault="005D47AF" w:rsidP="00F5598B">
      <w:pPr>
        <w:rPr>
          <w:b/>
          <w:bCs/>
          <w:lang w:eastAsia="en-US"/>
        </w:rPr>
      </w:pPr>
      <w:r w:rsidRPr="005D47AF">
        <w:rPr>
          <w:b/>
          <w:bCs/>
          <w:lang w:eastAsia="en-US"/>
        </w:rPr>
        <w:t>March-May meetings will be Electronic</w:t>
      </w:r>
    </w:p>
    <w:p w14:paraId="5E287573" w14:textId="37D4FCE6" w:rsidR="005D47AF" w:rsidRPr="005D47AF" w:rsidRDefault="005D47AF" w:rsidP="00F5598B">
      <w:pPr>
        <w:rPr>
          <w:b/>
          <w:bCs/>
          <w:lang w:eastAsia="en-US"/>
        </w:rPr>
      </w:pPr>
      <w:r w:rsidRPr="005D47AF">
        <w:rPr>
          <w:b/>
          <w:bCs/>
          <w:lang w:eastAsia="en-US"/>
        </w:rPr>
        <w:t>June 2022 TSGs: Plan F2F: Invites December (Budapest)</w:t>
      </w:r>
    </w:p>
    <w:p w14:paraId="053D0E2B" w14:textId="125543B7" w:rsidR="005D47AF" w:rsidRDefault="005D47AF" w:rsidP="00F5598B">
      <w:pPr>
        <w:rPr>
          <w:lang w:eastAsia="en-US"/>
        </w:rPr>
      </w:pPr>
    </w:p>
    <w:p w14:paraId="6C1390E1" w14:textId="6EE8E17B" w:rsidR="005D47AF" w:rsidRPr="005D47AF" w:rsidRDefault="005D47AF" w:rsidP="00F5598B">
      <w:pPr>
        <w:rPr>
          <w:b/>
          <w:bCs/>
          <w:lang w:eastAsia="en-US"/>
        </w:rPr>
      </w:pPr>
      <w:r w:rsidRPr="005D47AF">
        <w:rPr>
          <w:b/>
          <w:bCs/>
          <w:lang w:eastAsia="en-US"/>
        </w:rPr>
        <w:t xml:space="preserve">Acton Plan for </w:t>
      </w:r>
    </w:p>
    <w:p w14:paraId="771F19D3" w14:textId="55FB3665" w:rsidR="005D47AF" w:rsidRDefault="005D47AF" w:rsidP="00F5598B">
      <w:pPr>
        <w:rPr>
          <w:lang w:eastAsia="en-US"/>
        </w:rPr>
      </w:pPr>
      <w:r>
        <w:rPr>
          <w:lang w:eastAsia="en-US"/>
        </w:rPr>
        <w:t>Constraints: Invitations should be available 6 months ahead.</w:t>
      </w:r>
    </w:p>
    <w:p w14:paraId="06E92598" w14:textId="52B6662E" w:rsidR="005D47AF" w:rsidRDefault="005D47AF" w:rsidP="005D47AF">
      <w:pPr>
        <w:pStyle w:val="B1"/>
      </w:pPr>
      <w:r>
        <w:t>-</w:t>
      </w:r>
      <w:r>
        <w:tab/>
        <w:t>Disclaimers for invitations related to unstable COVID-19 situation: A standard text would be useful and it was considered that this should be kept separate from the main invitation letter, which may be needed for Visa applications etc.</w:t>
      </w:r>
    </w:p>
    <w:p w14:paraId="3A7AC403" w14:textId="77777777" w:rsidR="005D47AF" w:rsidRDefault="005D47AF" w:rsidP="005D47AF">
      <w:pPr>
        <w:pStyle w:val="B1"/>
      </w:pPr>
    </w:p>
    <w:p w14:paraId="2D96F47B" w14:textId="71E3479D" w:rsidR="005D47AF" w:rsidRDefault="005D47AF" w:rsidP="00F5598B">
      <w:pPr>
        <w:rPr>
          <w:lang w:eastAsia="en-US"/>
        </w:rPr>
      </w:pPr>
      <w:r>
        <w:rPr>
          <w:lang w:eastAsia="en-US"/>
        </w:rPr>
        <w:t>At least 3 months</w:t>
      </w:r>
      <w:r w:rsidRPr="005D47AF">
        <w:rPr>
          <w:lang w:eastAsia="en-US"/>
        </w:rPr>
        <w:t>'</w:t>
      </w:r>
      <w:r>
        <w:rPr>
          <w:lang w:eastAsia="en-US"/>
        </w:rPr>
        <w:t xml:space="preserve"> notice needed for cancellation without penalty.</w:t>
      </w:r>
    </w:p>
    <w:p w14:paraId="64B1118B" w14:textId="337A41FC" w:rsidR="005D47AF" w:rsidRPr="005D47AF" w:rsidRDefault="005D47AF" w:rsidP="00F5598B">
      <w:pPr>
        <w:rPr>
          <w:b/>
          <w:bCs/>
          <w:lang w:eastAsia="en-US"/>
        </w:rPr>
      </w:pPr>
      <w:r w:rsidRPr="005D47AF">
        <w:rPr>
          <w:b/>
          <w:bCs/>
          <w:lang w:eastAsia="en-US"/>
        </w:rPr>
        <w:t>Action Plan needed to track the points to be worked on.</w:t>
      </w:r>
    </w:p>
    <w:p w14:paraId="723803D8" w14:textId="00C3F8E7" w:rsidR="005D47AF" w:rsidRDefault="005D47AF" w:rsidP="00F5598B">
      <w:pPr>
        <w:rPr>
          <w:lang w:eastAsia="en-US"/>
        </w:rPr>
      </w:pPr>
      <w:r>
        <w:rPr>
          <w:lang w:eastAsia="en-US"/>
        </w:rPr>
        <w:t>Meeting Calendar Meeting planning from June 2022 - venues, which WGs - co-located meetings - etc.</w:t>
      </w:r>
    </w:p>
    <w:p w14:paraId="6BAFB8EC" w14:textId="1FA50E07" w:rsidR="005D47AF" w:rsidRPr="005D47AF" w:rsidRDefault="005D47AF" w:rsidP="00F5598B">
      <w:pPr>
        <w:rPr>
          <w:b/>
          <w:bCs/>
          <w:lang w:eastAsia="en-US"/>
        </w:rPr>
      </w:pPr>
      <w:r>
        <w:rPr>
          <w:b/>
          <w:bCs/>
          <w:lang w:eastAsia="en-US"/>
        </w:rPr>
        <w:t xml:space="preserve">The </w:t>
      </w:r>
      <w:r w:rsidRPr="005D47AF">
        <w:rPr>
          <w:b/>
          <w:bCs/>
          <w:lang w:eastAsia="en-US"/>
        </w:rPr>
        <w:t>Convenor will try to compile this and distribute over e-mail.</w:t>
      </w:r>
    </w:p>
    <w:p w14:paraId="61001B82" w14:textId="77777777" w:rsidR="00F5598B" w:rsidRPr="00F5598B" w:rsidRDefault="00F5598B" w:rsidP="00F5598B">
      <w:pPr>
        <w:rPr>
          <w:lang w:eastAsia="en-US"/>
        </w:rPr>
      </w:pPr>
    </w:p>
    <w:p w14:paraId="52598729" w14:textId="77777777" w:rsidR="00F5598B" w:rsidRDefault="00F5598B" w:rsidP="00837DE3">
      <w:pPr>
        <w:pStyle w:val="Heading1"/>
      </w:pPr>
      <w:r>
        <w:t>6</w:t>
      </w:r>
      <w:r>
        <w:tab/>
        <w:t>AoB and Closing remarks</w:t>
      </w:r>
    </w:p>
    <w:p w14:paraId="49A810D0" w14:textId="6002A6A4" w:rsidR="00F5598B" w:rsidRDefault="005D47AF" w:rsidP="00F5598B">
      <w:r>
        <w:t>The Convenor thanked participants for their useful inputs and discussions. Further communication will continue over e-mail.</w:t>
      </w:r>
    </w:p>
    <w:p w14:paraId="55F6066B" w14:textId="77777777" w:rsidR="00780C5D" w:rsidRPr="00CA4BD5" w:rsidRDefault="00780C5D" w:rsidP="00E6060F"/>
    <w:p w14:paraId="664843CF" w14:textId="059D435E"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F5598B">
        <w:rPr>
          <w:color w:val="0000FF"/>
        </w:rPr>
        <w:t>6</w:t>
      </w:r>
      <w:r w:rsidR="00CA4BD5">
        <w:rPr>
          <w:color w:val="0000FF"/>
        </w:rPr>
        <w:t xml:space="preserve"> Novem</w:t>
      </w:r>
      <w:r w:rsidR="00A87E03">
        <w:rPr>
          <w:color w:val="0000FF"/>
        </w:rPr>
        <w:t>ber</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5D47AF">
        <w:rPr>
          <w:color w:val="0000FF"/>
        </w:rPr>
        <w:t>4</w:t>
      </w:r>
      <w:r w:rsidR="00A4192B">
        <w:rPr>
          <w:color w:val="0000FF"/>
        </w:rPr>
        <w:t>.</w:t>
      </w:r>
      <w:r w:rsidR="005D47AF">
        <w:rPr>
          <w:color w:val="0000FF"/>
        </w:rPr>
        <w:t>45</w:t>
      </w:r>
      <w:r w:rsidR="0048558F" w:rsidRPr="0048558F">
        <w:rPr>
          <w:color w:val="0000FF"/>
        </w:rPr>
        <w:t xml:space="preserve"> UTC</w:t>
      </w:r>
    </w:p>
    <w:p w14:paraId="1ED49A59" w14:textId="77777777" w:rsidR="00A51EF0" w:rsidRDefault="00A51EF0">
      <w:pPr>
        <w:tabs>
          <w:tab w:val="clear" w:pos="567"/>
          <w:tab w:val="clear" w:pos="851"/>
          <w:tab w:val="clear" w:pos="1134"/>
          <w:tab w:val="clear" w:pos="1418"/>
          <w:tab w:val="clear" w:pos="1701"/>
        </w:tabs>
        <w:spacing w:after="0"/>
      </w:pPr>
    </w:p>
    <w:p w14:paraId="4DF3379D" w14:textId="2005EFFE" w:rsidR="00A51EF0" w:rsidRDefault="00A51EF0">
      <w:pPr>
        <w:tabs>
          <w:tab w:val="clear" w:pos="567"/>
          <w:tab w:val="clear" w:pos="851"/>
          <w:tab w:val="clear" w:pos="1134"/>
          <w:tab w:val="clear" w:pos="1418"/>
          <w:tab w:val="clear" w:pos="1701"/>
        </w:tabs>
        <w:spacing w:after="0"/>
      </w:pPr>
      <w:r>
        <w:br w:type="page"/>
      </w:r>
    </w:p>
    <w:p w14:paraId="2A4565D8" w14:textId="5829839E" w:rsidR="00D07283" w:rsidRDefault="00A51EF0" w:rsidP="00A51EF0">
      <w:pPr>
        <w:pStyle w:val="Heading1"/>
      </w:pPr>
      <w:r>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A51EF0" w14:paraId="06349C56" w14:textId="77777777" w:rsidTr="00A51EF0">
        <w:trPr>
          <w:trHeight w:val="330"/>
        </w:trPr>
        <w:tc>
          <w:tcPr>
            <w:tcW w:w="914" w:type="dxa"/>
            <w:shd w:val="clear" w:color="000000" w:fill="FDE9D9"/>
            <w:hideMark/>
          </w:tcPr>
          <w:p w14:paraId="2D2ED2FF"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A51EF0">
              <w:rPr>
                <w:rFonts w:eastAsia="Times New Roman" w:cs="Arial"/>
                <w:sz w:val="16"/>
                <w:szCs w:val="16"/>
                <w:lang w:eastAsia="en-GB"/>
              </w:rPr>
              <w:t>AI</w:t>
            </w:r>
          </w:p>
        </w:tc>
        <w:tc>
          <w:tcPr>
            <w:tcW w:w="1459" w:type="dxa"/>
            <w:shd w:val="clear" w:color="000000" w:fill="FDE9D9"/>
            <w:hideMark/>
          </w:tcPr>
          <w:p w14:paraId="78614558"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A51EF0">
              <w:rPr>
                <w:rFonts w:eastAsia="Times New Roman" w:cs="Arial"/>
                <w:sz w:val="16"/>
                <w:szCs w:val="16"/>
                <w:lang w:eastAsia="en-GB"/>
              </w:rPr>
              <w:t>TD #</w:t>
            </w:r>
          </w:p>
        </w:tc>
        <w:tc>
          <w:tcPr>
            <w:tcW w:w="1267" w:type="dxa"/>
            <w:shd w:val="clear" w:color="000000" w:fill="FDE9D9"/>
            <w:hideMark/>
          </w:tcPr>
          <w:p w14:paraId="46AE3076"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A51EF0">
              <w:rPr>
                <w:rFonts w:eastAsia="Times New Roman" w:cs="Arial"/>
                <w:sz w:val="16"/>
                <w:szCs w:val="16"/>
                <w:lang w:eastAsia="en-GB"/>
              </w:rPr>
              <w:t>Type</w:t>
            </w:r>
          </w:p>
        </w:tc>
        <w:tc>
          <w:tcPr>
            <w:tcW w:w="1254" w:type="dxa"/>
            <w:shd w:val="clear" w:color="000000" w:fill="FDE9D9"/>
            <w:hideMark/>
          </w:tcPr>
          <w:p w14:paraId="2386037F"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A51EF0">
              <w:rPr>
                <w:rFonts w:eastAsia="Times New Roman" w:cs="Arial"/>
                <w:sz w:val="16"/>
                <w:szCs w:val="16"/>
                <w:lang w:eastAsia="en-GB"/>
              </w:rPr>
              <w:t>Doc For</w:t>
            </w:r>
          </w:p>
        </w:tc>
        <w:tc>
          <w:tcPr>
            <w:tcW w:w="3319" w:type="dxa"/>
            <w:shd w:val="clear" w:color="000000" w:fill="FDE9D9"/>
            <w:hideMark/>
          </w:tcPr>
          <w:p w14:paraId="6740F6CD"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A51EF0">
              <w:rPr>
                <w:rFonts w:eastAsia="Times New Roman" w:cs="Arial"/>
                <w:sz w:val="16"/>
                <w:szCs w:val="16"/>
                <w:lang w:eastAsia="en-GB"/>
              </w:rPr>
              <w:t>Title</w:t>
            </w:r>
          </w:p>
        </w:tc>
        <w:tc>
          <w:tcPr>
            <w:tcW w:w="2555" w:type="dxa"/>
            <w:shd w:val="clear" w:color="000000" w:fill="FDE9D9"/>
            <w:hideMark/>
          </w:tcPr>
          <w:p w14:paraId="4249043E"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A51EF0">
              <w:rPr>
                <w:rFonts w:eastAsia="Times New Roman" w:cs="Arial"/>
                <w:sz w:val="16"/>
                <w:szCs w:val="16"/>
                <w:lang w:eastAsia="en-GB"/>
              </w:rPr>
              <w:t>Source</w:t>
            </w:r>
          </w:p>
        </w:tc>
      </w:tr>
      <w:tr w:rsidR="00A51EF0" w:rsidRPr="00A51EF0" w14:paraId="35042CF6" w14:textId="77777777" w:rsidTr="00A51EF0">
        <w:trPr>
          <w:trHeight w:val="750"/>
        </w:trPr>
        <w:tc>
          <w:tcPr>
            <w:tcW w:w="914" w:type="dxa"/>
            <w:shd w:val="clear" w:color="auto" w:fill="auto"/>
            <w:hideMark/>
          </w:tcPr>
          <w:p w14:paraId="2B5E529B"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2</w:t>
            </w:r>
          </w:p>
        </w:tc>
        <w:tc>
          <w:tcPr>
            <w:tcW w:w="1459" w:type="dxa"/>
            <w:shd w:val="clear" w:color="auto" w:fill="auto"/>
            <w:hideMark/>
          </w:tcPr>
          <w:p w14:paraId="5C93C319"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OPf210001</w:t>
            </w:r>
          </w:p>
        </w:tc>
        <w:tc>
          <w:tcPr>
            <w:tcW w:w="1267" w:type="dxa"/>
            <w:shd w:val="clear" w:color="auto" w:fill="auto"/>
            <w:hideMark/>
          </w:tcPr>
          <w:p w14:paraId="2BB0782A"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AGENDA</w:t>
            </w:r>
          </w:p>
        </w:tc>
        <w:tc>
          <w:tcPr>
            <w:tcW w:w="1254" w:type="dxa"/>
            <w:shd w:val="clear" w:color="auto" w:fill="auto"/>
            <w:hideMark/>
          </w:tcPr>
          <w:p w14:paraId="2BFEB42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Decision</w:t>
            </w:r>
          </w:p>
        </w:tc>
        <w:tc>
          <w:tcPr>
            <w:tcW w:w="3319" w:type="dxa"/>
            <w:shd w:val="clear" w:color="auto" w:fill="auto"/>
            <w:hideMark/>
          </w:tcPr>
          <w:p w14:paraId="65532924"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Agenda</w:t>
            </w:r>
          </w:p>
        </w:tc>
        <w:tc>
          <w:tcPr>
            <w:tcW w:w="2555" w:type="dxa"/>
            <w:shd w:val="clear" w:color="auto" w:fill="auto"/>
            <w:hideMark/>
          </w:tcPr>
          <w:p w14:paraId="425E4184"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F2F Decision Meeting Convenor (Balazs Bertenyi)</w:t>
            </w:r>
          </w:p>
        </w:tc>
      </w:tr>
      <w:tr w:rsidR="00A51EF0" w:rsidRPr="00A51EF0" w14:paraId="29380CBB" w14:textId="77777777" w:rsidTr="00A51EF0">
        <w:trPr>
          <w:trHeight w:val="750"/>
        </w:trPr>
        <w:tc>
          <w:tcPr>
            <w:tcW w:w="914" w:type="dxa"/>
            <w:shd w:val="clear" w:color="auto" w:fill="auto"/>
            <w:hideMark/>
          </w:tcPr>
          <w:p w14:paraId="7C3DA232"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3</w:t>
            </w:r>
          </w:p>
        </w:tc>
        <w:tc>
          <w:tcPr>
            <w:tcW w:w="1459" w:type="dxa"/>
            <w:shd w:val="clear" w:color="000000" w:fill="F2F2F2"/>
            <w:hideMark/>
          </w:tcPr>
          <w:p w14:paraId="63844748"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OPf210002</w:t>
            </w:r>
          </w:p>
        </w:tc>
        <w:tc>
          <w:tcPr>
            <w:tcW w:w="1267" w:type="dxa"/>
            <w:shd w:val="clear" w:color="auto" w:fill="auto"/>
            <w:hideMark/>
          </w:tcPr>
          <w:p w14:paraId="64AF7D61"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3B69E57B"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68956118"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Status of key criteria for F2F resumption</w:t>
            </w:r>
          </w:p>
        </w:tc>
        <w:tc>
          <w:tcPr>
            <w:tcW w:w="2555" w:type="dxa"/>
            <w:shd w:val="clear" w:color="auto" w:fill="auto"/>
            <w:hideMark/>
          </w:tcPr>
          <w:p w14:paraId="45BAC583"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TTA (Telecommunications Technology Association)</w:t>
            </w:r>
          </w:p>
        </w:tc>
      </w:tr>
      <w:tr w:rsidR="00A51EF0" w:rsidRPr="00A51EF0" w14:paraId="089DD820" w14:textId="77777777" w:rsidTr="00A51EF0">
        <w:trPr>
          <w:trHeight w:val="750"/>
        </w:trPr>
        <w:tc>
          <w:tcPr>
            <w:tcW w:w="914" w:type="dxa"/>
            <w:shd w:val="clear" w:color="auto" w:fill="auto"/>
            <w:hideMark/>
          </w:tcPr>
          <w:p w14:paraId="664D291D"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4</w:t>
            </w:r>
          </w:p>
        </w:tc>
        <w:tc>
          <w:tcPr>
            <w:tcW w:w="1459" w:type="dxa"/>
            <w:shd w:val="clear" w:color="auto" w:fill="auto"/>
            <w:hideMark/>
          </w:tcPr>
          <w:p w14:paraId="392F2CCE"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OPf210003</w:t>
            </w:r>
          </w:p>
        </w:tc>
        <w:tc>
          <w:tcPr>
            <w:tcW w:w="1267" w:type="dxa"/>
            <w:shd w:val="clear" w:color="auto" w:fill="auto"/>
            <w:hideMark/>
          </w:tcPr>
          <w:p w14:paraId="61D6AA8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035A13FC"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31BD4A78"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Template for the hosting OP to report status of key criteria</w:t>
            </w:r>
          </w:p>
        </w:tc>
        <w:tc>
          <w:tcPr>
            <w:tcW w:w="2555" w:type="dxa"/>
            <w:shd w:val="clear" w:color="auto" w:fill="auto"/>
            <w:hideMark/>
          </w:tcPr>
          <w:p w14:paraId="45DE9F9B"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ARIB/TTC</w:t>
            </w:r>
          </w:p>
        </w:tc>
      </w:tr>
      <w:tr w:rsidR="00A51EF0" w:rsidRPr="00A51EF0" w14:paraId="405FA5BA" w14:textId="77777777" w:rsidTr="00A51EF0">
        <w:trPr>
          <w:trHeight w:val="750"/>
        </w:trPr>
        <w:tc>
          <w:tcPr>
            <w:tcW w:w="914" w:type="dxa"/>
            <w:shd w:val="clear" w:color="auto" w:fill="auto"/>
            <w:hideMark/>
          </w:tcPr>
          <w:p w14:paraId="2A78FCCC"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4</w:t>
            </w:r>
          </w:p>
        </w:tc>
        <w:tc>
          <w:tcPr>
            <w:tcW w:w="1459" w:type="dxa"/>
            <w:shd w:val="clear" w:color="000000" w:fill="F2F2F2"/>
            <w:hideMark/>
          </w:tcPr>
          <w:p w14:paraId="7E86E849"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OPf210004</w:t>
            </w:r>
          </w:p>
        </w:tc>
        <w:tc>
          <w:tcPr>
            <w:tcW w:w="1267" w:type="dxa"/>
            <w:shd w:val="clear" w:color="auto" w:fill="auto"/>
            <w:hideMark/>
          </w:tcPr>
          <w:p w14:paraId="188A31FB"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08AC2E99"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508450D7"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Template for the hosting OP to report status of key criteria</w:t>
            </w:r>
          </w:p>
        </w:tc>
        <w:tc>
          <w:tcPr>
            <w:tcW w:w="2555" w:type="dxa"/>
            <w:shd w:val="clear" w:color="auto" w:fill="auto"/>
            <w:hideMark/>
          </w:tcPr>
          <w:p w14:paraId="7F1E16DA"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ATIS</w:t>
            </w:r>
          </w:p>
        </w:tc>
      </w:tr>
      <w:tr w:rsidR="00A51EF0" w:rsidRPr="00A51EF0" w14:paraId="4838F400" w14:textId="77777777" w:rsidTr="00A51EF0">
        <w:trPr>
          <w:trHeight w:val="750"/>
        </w:trPr>
        <w:tc>
          <w:tcPr>
            <w:tcW w:w="914" w:type="dxa"/>
            <w:shd w:val="clear" w:color="auto" w:fill="auto"/>
            <w:hideMark/>
          </w:tcPr>
          <w:p w14:paraId="3065A637"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4</w:t>
            </w:r>
          </w:p>
        </w:tc>
        <w:tc>
          <w:tcPr>
            <w:tcW w:w="1459" w:type="dxa"/>
            <w:shd w:val="clear" w:color="auto" w:fill="auto"/>
            <w:hideMark/>
          </w:tcPr>
          <w:p w14:paraId="46A6570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OPf210005</w:t>
            </w:r>
          </w:p>
        </w:tc>
        <w:tc>
          <w:tcPr>
            <w:tcW w:w="1267" w:type="dxa"/>
            <w:shd w:val="clear" w:color="auto" w:fill="auto"/>
            <w:hideMark/>
          </w:tcPr>
          <w:p w14:paraId="7666B46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5D250C4B"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715590C1"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TSDSI report on status of key criteria for the Decision Meeting</w:t>
            </w:r>
          </w:p>
        </w:tc>
        <w:tc>
          <w:tcPr>
            <w:tcW w:w="2555" w:type="dxa"/>
            <w:shd w:val="clear" w:color="auto" w:fill="auto"/>
            <w:hideMark/>
          </w:tcPr>
          <w:p w14:paraId="7A9F3173"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TSDSI</w:t>
            </w:r>
          </w:p>
        </w:tc>
      </w:tr>
      <w:tr w:rsidR="00A51EF0" w:rsidRPr="00A51EF0" w14:paraId="72D5DC8D" w14:textId="77777777" w:rsidTr="00A51EF0">
        <w:trPr>
          <w:trHeight w:val="750"/>
        </w:trPr>
        <w:tc>
          <w:tcPr>
            <w:tcW w:w="914" w:type="dxa"/>
            <w:shd w:val="clear" w:color="auto" w:fill="auto"/>
            <w:hideMark/>
          </w:tcPr>
          <w:p w14:paraId="4BF57B24"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4</w:t>
            </w:r>
          </w:p>
        </w:tc>
        <w:tc>
          <w:tcPr>
            <w:tcW w:w="1459" w:type="dxa"/>
            <w:shd w:val="clear" w:color="000000" w:fill="F2F2F2"/>
            <w:hideMark/>
          </w:tcPr>
          <w:p w14:paraId="2381F76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OPf210006</w:t>
            </w:r>
          </w:p>
        </w:tc>
        <w:tc>
          <w:tcPr>
            <w:tcW w:w="1267" w:type="dxa"/>
            <w:shd w:val="clear" w:color="auto" w:fill="auto"/>
            <w:hideMark/>
          </w:tcPr>
          <w:p w14:paraId="4BFE319E"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71C2617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492342F1"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Template for the hosting OP to report status of key criteria</w:t>
            </w:r>
          </w:p>
        </w:tc>
        <w:tc>
          <w:tcPr>
            <w:tcW w:w="2555" w:type="dxa"/>
            <w:shd w:val="clear" w:color="auto" w:fill="auto"/>
            <w:hideMark/>
          </w:tcPr>
          <w:p w14:paraId="68CBF07D"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Organizational Partner CCSA</w:t>
            </w:r>
          </w:p>
        </w:tc>
      </w:tr>
      <w:tr w:rsidR="00A51EF0" w:rsidRPr="00A51EF0" w14:paraId="15C971BA" w14:textId="77777777" w:rsidTr="00A51EF0">
        <w:trPr>
          <w:trHeight w:val="750"/>
        </w:trPr>
        <w:tc>
          <w:tcPr>
            <w:tcW w:w="914" w:type="dxa"/>
            <w:shd w:val="clear" w:color="auto" w:fill="auto"/>
            <w:hideMark/>
          </w:tcPr>
          <w:p w14:paraId="117AF1B4"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4</w:t>
            </w:r>
          </w:p>
        </w:tc>
        <w:tc>
          <w:tcPr>
            <w:tcW w:w="1459" w:type="dxa"/>
            <w:shd w:val="clear" w:color="auto" w:fill="auto"/>
            <w:hideMark/>
          </w:tcPr>
          <w:p w14:paraId="34975032"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OPf210007</w:t>
            </w:r>
          </w:p>
        </w:tc>
        <w:tc>
          <w:tcPr>
            <w:tcW w:w="1267" w:type="dxa"/>
            <w:shd w:val="clear" w:color="auto" w:fill="auto"/>
            <w:hideMark/>
          </w:tcPr>
          <w:p w14:paraId="2BEC64C8"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26E32599"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7326295C"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Template for the hosting OP to report status of key criteria</w:t>
            </w:r>
          </w:p>
        </w:tc>
        <w:tc>
          <w:tcPr>
            <w:tcW w:w="2555" w:type="dxa"/>
            <w:shd w:val="clear" w:color="auto" w:fill="auto"/>
            <w:hideMark/>
          </w:tcPr>
          <w:p w14:paraId="1A0D92E7"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Organizational Partner ETSI</w:t>
            </w:r>
          </w:p>
        </w:tc>
      </w:tr>
      <w:tr w:rsidR="00A51EF0" w:rsidRPr="00A51EF0" w14:paraId="6995CDED" w14:textId="77777777" w:rsidTr="00A51EF0">
        <w:trPr>
          <w:trHeight w:val="750"/>
        </w:trPr>
        <w:tc>
          <w:tcPr>
            <w:tcW w:w="914" w:type="dxa"/>
            <w:shd w:val="clear" w:color="auto" w:fill="auto"/>
            <w:hideMark/>
          </w:tcPr>
          <w:p w14:paraId="6C1C9CD2"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3</w:t>
            </w:r>
          </w:p>
        </w:tc>
        <w:tc>
          <w:tcPr>
            <w:tcW w:w="1459" w:type="dxa"/>
            <w:shd w:val="clear" w:color="000000" w:fill="F2F2F2"/>
            <w:hideMark/>
          </w:tcPr>
          <w:p w14:paraId="20B92398"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OPf210008</w:t>
            </w:r>
          </w:p>
        </w:tc>
        <w:tc>
          <w:tcPr>
            <w:tcW w:w="1267" w:type="dxa"/>
            <w:shd w:val="clear" w:color="auto" w:fill="auto"/>
            <w:hideMark/>
          </w:tcPr>
          <w:p w14:paraId="79974912"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3BDB22FD"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60DA09AB"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Template for the hosting OP to report status of key criteria</w:t>
            </w:r>
          </w:p>
        </w:tc>
        <w:tc>
          <w:tcPr>
            <w:tcW w:w="2555" w:type="dxa"/>
            <w:shd w:val="clear" w:color="auto" w:fill="auto"/>
            <w:hideMark/>
          </w:tcPr>
          <w:p w14:paraId="27B1C315"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ARIB/TTC</w:t>
            </w:r>
          </w:p>
        </w:tc>
      </w:tr>
      <w:tr w:rsidR="00A51EF0" w:rsidRPr="00A51EF0" w14:paraId="476ECC04" w14:textId="77777777" w:rsidTr="00A51EF0">
        <w:trPr>
          <w:trHeight w:val="750"/>
        </w:trPr>
        <w:tc>
          <w:tcPr>
            <w:tcW w:w="914" w:type="dxa"/>
            <w:shd w:val="clear" w:color="auto" w:fill="auto"/>
            <w:hideMark/>
          </w:tcPr>
          <w:p w14:paraId="3309DA03"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3</w:t>
            </w:r>
          </w:p>
        </w:tc>
        <w:tc>
          <w:tcPr>
            <w:tcW w:w="1459" w:type="dxa"/>
            <w:shd w:val="clear" w:color="auto" w:fill="auto"/>
            <w:hideMark/>
          </w:tcPr>
          <w:p w14:paraId="1BFD618F"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OPf210009</w:t>
            </w:r>
          </w:p>
        </w:tc>
        <w:tc>
          <w:tcPr>
            <w:tcW w:w="1267" w:type="dxa"/>
            <w:shd w:val="clear" w:color="auto" w:fill="auto"/>
            <w:hideMark/>
          </w:tcPr>
          <w:p w14:paraId="629474D4"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7452C699"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2699D6C4"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Template for the hosting OP to report status of key criteria</w:t>
            </w:r>
          </w:p>
        </w:tc>
        <w:tc>
          <w:tcPr>
            <w:tcW w:w="2555" w:type="dxa"/>
            <w:shd w:val="clear" w:color="auto" w:fill="auto"/>
            <w:hideMark/>
          </w:tcPr>
          <w:p w14:paraId="76D0E85A"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ATIS</w:t>
            </w:r>
          </w:p>
        </w:tc>
      </w:tr>
      <w:tr w:rsidR="00A51EF0" w:rsidRPr="00A51EF0" w14:paraId="73474D7A" w14:textId="77777777" w:rsidTr="00A51EF0">
        <w:trPr>
          <w:trHeight w:val="750"/>
        </w:trPr>
        <w:tc>
          <w:tcPr>
            <w:tcW w:w="914" w:type="dxa"/>
            <w:shd w:val="clear" w:color="auto" w:fill="auto"/>
            <w:hideMark/>
          </w:tcPr>
          <w:p w14:paraId="00959118"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5</w:t>
            </w:r>
          </w:p>
        </w:tc>
        <w:tc>
          <w:tcPr>
            <w:tcW w:w="1459" w:type="dxa"/>
            <w:shd w:val="clear" w:color="000000" w:fill="F2F2F2"/>
            <w:hideMark/>
          </w:tcPr>
          <w:p w14:paraId="04EBFED1"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OPf210010</w:t>
            </w:r>
          </w:p>
        </w:tc>
        <w:tc>
          <w:tcPr>
            <w:tcW w:w="1267" w:type="dxa"/>
            <w:shd w:val="clear" w:color="auto" w:fill="auto"/>
            <w:hideMark/>
          </w:tcPr>
          <w:p w14:paraId="6C9B5B23"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1F04306E"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Decision</w:t>
            </w:r>
          </w:p>
        </w:tc>
        <w:tc>
          <w:tcPr>
            <w:tcW w:w="3319" w:type="dxa"/>
            <w:shd w:val="clear" w:color="auto" w:fill="auto"/>
            <w:hideMark/>
          </w:tcPr>
          <w:p w14:paraId="7EC2B6F6"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Proposed next steps</w:t>
            </w:r>
          </w:p>
        </w:tc>
        <w:tc>
          <w:tcPr>
            <w:tcW w:w="2555" w:type="dxa"/>
            <w:shd w:val="clear" w:color="auto" w:fill="auto"/>
            <w:hideMark/>
          </w:tcPr>
          <w:p w14:paraId="0EF1F4C1"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F2F Decision Meeting Convenor (Balazs Bertenyi)</w:t>
            </w:r>
          </w:p>
        </w:tc>
      </w:tr>
      <w:tr w:rsidR="00A51EF0" w:rsidRPr="00A51EF0" w14:paraId="0C060175" w14:textId="77777777" w:rsidTr="00A51EF0">
        <w:trPr>
          <w:trHeight w:val="750"/>
        </w:trPr>
        <w:tc>
          <w:tcPr>
            <w:tcW w:w="914" w:type="dxa"/>
            <w:shd w:val="clear" w:color="auto" w:fill="auto"/>
            <w:hideMark/>
          </w:tcPr>
          <w:p w14:paraId="11743876"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4</w:t>
            </w:r>
          </w:p>
        </w:tc>
        <w:tc>
          <w:tcPr>
            <w:tcW w:w="1459" w:type="dxa"/>
            <w:shd w:val="clear" w:color="auto" w:fill="auto"/>
            <w:hideMark/>
          </w:tcPr>
          <w:p w14:paraId="32A6B327"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OPf210011</w:t>
            </w:r>
          </w:p>
        </w:tc>
        <w:tc>
          <w:tcPr>
            <w:tcW w:w="1267" w:type="dxa"/>
            <w:shd w:val="clear" w:color="auto" w:fill="auto"/>
            <w:hideMark/>
          </w:tcPr>
          <w:p w14:paraId="4033A00E"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OTHER</w:t>
            </w:r>
          </w:p>
        </w:tc>
        <w:tc>
          <w:tcPr>
            <w:tcW w:w="1254" w:type="dxa"/>
            <w:shd w:val="clear" w:color="auto" w:fill="auto"/>
            <w:hideMark/>
          </w:tcPr>
          <w:p w14:paraId="17901E77"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Information</w:t>
            </w:r>
          </w:p>
        </w:tc>
        <w:tc>
          <w:tcPr>
            <w:tcW w:w="3319" w:type="dxa"/>
            <w:shd w:val="clear" w:color="auto" w:fill="auto"/>
            <w:hideMark/>
          </w:tcPr>
          <w:p w14:paraId="0EED8BDB"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Summary table of visiting (non-hosting) OP input on key criteria</w:t>
            </w:r>
          </w:p>
        </w:tc>
        <w:tc>
          <w:tcPr>
            <w:tcW w:w="2555" w:type="dxa"/>
            <w:shd w:val="clear" w:color="auto" w:fill="auto"/>
            <w:hideMark/>
          </w:tcPr>
          <w:p w14:paraId="4A1B151E"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Convenor (Balazs Bertenyi)</w:t>
            </w:r>
          </w:p>
        </w:tc>
      </w:tr>
      <w:tr w:rsidR="00A51EF0" w:rsidRPr="00A51EF0" w14:paraId="054D8FFE" w14:textId="77777777" w:rsidTr="00A51EF0">
        <w:trPr>
          <w:trHeight w:val="750"/>
        </w:trPr>
        <w:tc>
          <w:tcPr>
            <w:tcW w:w="914" w:type="dxa"/>
            <w:shd w:val="clear" w:color="auto" w:fill="auto"/>
            <w:hideMark/>
          </w:tcPr>
          <w:p w14:paraId="5D72AC03" w14:textId="77777777" w:rsidR="00A51EF0" w:rsidRPr="00A51EF0" w:rsidRDefault="00A51EF0" w:rsidP="00A51EF0">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51EF0">
              <w:rPr>
                <w:rFonts w:eastAsia="Times New Roman" w:cs="Arial"/>
                <w:sz w:val="18"/>
                <w:szCs w:val="18"/>
                <w:lang w:eastAsia="en-GB"/>
              </w:rPr>
              <w:t>2</w:t>
            </w:r>
          </w:p>
        </w:tc>
        <w:tc>
          <w:tcPr>
            <w:tcW w:w="1459" w:type="dxa"/>
            <w:shd w:val="clear" w:color="000000" w:fill="F2F2F2"/>
            <w:hideMark/>
          </w:tcPr>
          <w:p w14:paraId="133DC602"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24"/>
                <w:szCs w:val="24"/>
                <w:lang w:eastAsia="en-GB"/>
              </w:rPr>
            </w:pPr>
            <w:r w:rsidRPr="00A51EF0">
              <w:rPr>
                <w:rFonts w:eastAsia="Times New Roman" w:cs="Arial"/>
                <w:sz w:val="24"/>
                <w:szCs w:val="24"/>
                <w:lang w:eastAsia="en-GB"/>
              </w:rPr>
              <w:t>OPf210012</w:t>
            </w:r>
          </w:p>
        </w:tc>
        <w:tc>
          <w:tcPr>
            <w:tcW w:w="1267" w:type="dxa"/>
            <w:shd w:val="clear" w:color="auto" w:fill="auto"/>
            <w:hideMark/>
          </w:tcPr>
          <w:p w14:paraId="43E2092D"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AGENDA</w:t>
            </w:r>
          </w:p>
        </w:tc>
        <w:tc>
          <w:tcPr>
            <w:tcW w:w="1254" w:type="dxa"/>
            <w:shd w:val="clear" w:color="auto" w:fill="auto"/>
            <w:hideMark/>
          </w:tcPr>
          <w:p w14:paraId="5186E401"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Decision</w:t>
            </w:r>
          </w:p>
        </w:tc>
        <w:tc>
          <w:tcPr>
            <w:tcW w:w="3319" w:type="dxa"/>
            <w:shd w:val="clear" w:color="auto" w:fill="auto"/>
            <w:hideMark/>
          </w:tcPr>
          <w:p w14:paraId="3EE5E057"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Agenda</w:t>
            </w:r>
          </w:p>
        </w:tc>
        <w:tc>
          <w:tcPr>
            <w:tcW w:w="2555" w:type="dxa"/>
            <w:shd w:val="clear" w:color="auto" w:fill="auto"/>
            <w:hideMark/>
          </w:tcPr>
          <w:p w14:paraId="13DC4B9D" w14:textId="77777777" w:rsidR="00A51EF0" w:rsidRPr="00A51EF0" w:rsidRDefault="00A51EF0" w:rsidP="00A51EF0">
            <w:pPr>
              <w:tabs>
                <w:tab w:val="clear" w:pos="567"/>
                <w:tab w:val="clear" w:pos="851"/>
                <w:tab w:val="clear" w:pos="1134"/>
                <w:tab w:val="clear" w:pos="1418"/>
                <w:tab w:val="clear" w:pos="1701"/>
              </w:tabs>
              <w:spacing w:after="0"/>
              <w:rPr>
                <w:rFonts w:eastAsia="Times New Roman" w:cs="Arial"/>
                <w:sz w:val="18"/>
                <w:szCs w:val="18"/>
                <w:lang w:eastAsia="en-GB"/>
              </w:rPr>
            </w:pPr>
            <w:r w:rsidRPr="00A51EF0">
              <w:rPr>
                <w:rFonts w:eastAsia="Times New Roman" w:cs="Arial"/>
                <w:sz w:val="18"/>
                <w:szCs w:val="18"/>
                <w:lang w:eastAsia="en-GB"/>
              </w:rPr>
              <w:t>F2F Decision Meeting Convenor (Balazs Bertenyi)</w:t>
            </w:r>
          </w:p>
        </w:tc>
      </w:tr>
    </w:tbl>
    <w:p w14:paraId="4BAB2CD9" w14:textId="77777777" w:rsidR="00A51EF0" w:rsidRDefault="00A51EF0"/>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A26F6"/>
    <w:rsid w:val="001D46DB"/>
    <w:rsid w:val="001D54BB"/>
    <w:rsid w:val="001E411C"/>
    <w:rsid w:val="001F7D51"/>
    <w:rsid w:val="0021794E"/>
    <w:rsid w:val="0021798A"/>
    <w:rsid w:val="002273F1"/>
    <w:rsid w:val="00231B8C"/>
    <w:rsid w:val="00233A74"/>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D02FE"/>
    <w:rsid w:val="004E218D"/>
    <w:rsid w:val="004F1EC5"/>
    <w:rsid w:val="00500CF4"/>
    <w:rsid w:val="00553450"/>
    <w:rsid w:val="00556F9B"/>
    <w:rsid w:val="005768DF"/>
    <w:rsid w:val="00585E54"/>
    <w:rsid w:val="00586482"/>
    <w:rsid w:val="005B7B97"/>
    <w:rsid w:val="005C0C1C"/>
    <w:rsid w:val="005D47AF"/>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80C5D"/>
    <w:rsid w:val="00790DAD"/>
    <w:rsid w:val="00790E48"/>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EF0"/>
    <w:rsid w:val="00A51F17"/>
    <w:rsid w:val="00A550B1"/>
    <w:rsid w:val="00A76535"/>
    <w:rsid w:val="00A775C8"/>
    <w:rsid w:val="00A8249C"/>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598B"/>
    <w:rsid w:val="00F57C08"/>
    <w:rsid w:val="00F66896"/>
    <w:rsid w:val="00F846CD"/>
    <w:rsid w:val="00F9494B"/>
    <w:rsid w:val="00FB13CD"/>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1/Docs/OPf210012.zip" TargetMode="External"/><Relationship Id="rId13" Type="http://schemas.openxmlformats.org/officeDocument/2006/relationships/hyperlink" Target="https://www.3gpp.org/ftp/Op/OP_F2F/F2F_001/Docs/OPf210003.zip" TargetMode="External"/><Relationship Id="rId18" Type="http://schemas.openxmlformats.org/officeDocument/2006/relationships/hyperlink" Target="https://www.3gpp.org/ftp/Op/OP_F2F/F2F_001/Docs/OPf2100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1/Docs/OPf210011.zip" TargetMode="External"/><Relationship Id="rId17" Type="http://schemas.openxmlformats.org/officeDocument/2006/relationships/hyperlink" Target="https://www.3gpp.org/ftp/Op/OP_F2F/F2F_001/Docs/OPf210007.zip" TargetMode="External"/><Relationship Id="rId2" Type="http://schemas.openxmlformats.org/officeDocument/2006/relationships/numbering" Target="numbering.xml"/><Relationship Id="rId16" Type="http://schemas.openxmlformats.org/officeDocument/2006/relationships/hyperlink" Target="https://www.3gpp.org/ftp/Op/OP_F2F/F2F_001/Docs/OPf21000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1/Docs/OPf210009.zip" TargetMode="External"/><Relationship Id="rId5" Type="http://schemas.openxmlformats.org/officeDocument/2006/relationships/webSettings" Target="webSettings.xml"/><Relationship Id="rId15" Type="http://schemas.openxmlformats.org/officeDocument/2006/relationships/hyperlink" Target="https://www.3gpp.org/ftp/Op/OP_F2F/F2F_001/Docs/OPf210005.zip" TargetMode="External"/><Relationship Id="rId10" Type="http://schemas.openxmlformats.org/officeDocument/2006/relationships/hyperlink" Target="https://www.3gpp.org/ftp/Op/OP_F2F/F2F_001/Docs/OPf210008.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Op/OP_F2F/F2F_001/Docs/OPf210002.zip" TargetMode="External"/><Relationship Id="rId14" Type="http://schemas.openxmlformats.org/officeDocument/2006/relationships/hyperlink" Target="https://www.3gpp.org/ftp/Op/OP_F2F/F2F_001/Docs/OPf2100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TotalTime>
  <Pages>5</Pages>
  <Words>2280</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23.501_CR3352R1_(Rel-17)_IIoT</cp:lastModifiedBy>
  <cp:revision>4</cp:revision>
  <dcterms:created xsi:type="dcterms:W3CDTF">2021-11-17T07:26:00Z</dcterms:created>
  <dcterms:modified xsi:type="dcterms:W3CDTF">2021-11-17T09:38:00Z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